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32/T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2024</w:t>
      </w:r>
      <w:r>
        <w:fldChar w:fldCharType="end"/>
      </w:r>
      <w:bookmarkEnd w:id="7"/>
    </w:p>
    <w:p>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Bdr>
          <w:top w:val="none" w:color="auto" w:sz="0" w:space="0"/>
          <w:left w:val="none" w:color="auto" w:sz="0" w:space="0"/>
          <w:bottom w:val="none" w:color="auto" w:sz="0" w:space="0"/>
          <w:right w:val="none" w:color="auto" w:sz="0" w:space="0"/>
        </w:pBdr>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县级（区域）医疗资源</w:t>
      </w:r>
      <w:r>
        <w:rPr>
          <w:rFonts w:hint="eastAsia"/>
          <w:lang w:eastAsia="zh-CN"/>
        </w:rPr>
        <w:t>集中化运行</w:t>
      </w:r>
      <w:r>
        <w:rPr>
          <w:rFonts w:hint="eastAsia"/>
        </w:rPr>
        <w:t>建设规范</w:t>
      </w:r>
    </w:p>
    <w:p>
      <w:pPr>
        <w:pStyle w:val="197"/>
        <w:framePr w:h="6974" w:hRule="exact" w:wrap="around" w:x="1419" w:anchorLock="1"/>
      </w:pPr>
      <w:r>
        <w:rPr>
          <w:rFonts w:hint="eastAsia"/>
        </w:rPr>
        <w:t>第4部分：远程会诊中心</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p>
    <w:p>
      <w:pPr>
        <w:pStyle w:val="125"/>
        <w:framePr w:w="9639" w:h="6974" w:hRule="exact" w:wrap="around" w:vAnchor="page" w:hAnchor="page" w:x="1419" w:y="6408" w:anchorLock="1"/>
        <w:pBdr>
          <w:top w:val="none" w:color="auto" w:sz="0" w:space="0"/>
          <w:left w:val="none" w:color="auto" w:sz="0" w:space="0"/>
          <w:bottom w:val="none" w:color="auto" w:sz="0" w:space="0"/>
          <w:right w:val="none" w:color="auto" w:sz="0" w:space="0"/>
        </w:pBdr>
        <w:textAlignment w:val="bottom"/>
        <w:rPr>
          <w:rFonts w:hint="eastAsia" w:ascii="黑体" w:hAnsi="黑体" w:eastAsia="黑体"/>
          <w:szCs w:val="28"/>
        </w:rPr>
      </w:pPr>
      <w:r>
        <w:rPr>
          <w:rFonts w:hint="eastAsia" w:ascii="黑体" w:hAnsi="黑体" w:eastAsia="黑体"/>
          <w:szCs w:val="28"/>
        </w:rPr>
        <w:t>Construction code of county-level (regional) medical resource information center——</w:t>
      </w:r>
    </w:p>
    <w:p>
      <w:pPr>
        <w:pStyle w:val="125"/>
        <w:framePr w:w="9639" w:h="6974" w:hRule="exact" w:wrap="around" w:vAnchor="page" w:hAnchor="page" w:x="1419" w:y="6408" w:anchorLock="1"/>
        <w:textAlignment w:val="bottom"/>
        <w:rPr>
          <w:rFonts w:ascii="黑体" w:hAnsi="黑体" w:eastAsia="黑体"/>
          <w:szCs w:val="28"/>
        </w:rPr>
      </w:pPr>
      <w:r>
        <w:rPr>
          <w:rFonts w:hint="eastAsia" w:ascii="黑体" w:hAnsi="黑体" w:eastAsia="黑体"/>
          <w:szCs w:val="28"/>
        </w:rPr>
        <w:t>Part 4：The remote consultation center</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（本草案完成时间：2024年</w:t>
      </w:r>
      <w:r>
        <w:rPr>
          <w:rFonts w:hint="eastAsia"/>
          <w:sz w:val="21"/>
          <w:szCs w:val="28"/>
          <w:lang w:eastAsia="zh-CN"/>
        </w:rPr>
        <w:t>）</w:t>
      </w:r>
      <w:r>
        <w:rPr>
          <w:sz w:val="21"/>
          <w:szCs w:val="28"/>
        </w:rPr>
        <w:t>  </w:t>
      </w:r>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1"/>
        <w:spacing w:after="468"/>
        <w:rPr>
          <w:rFonts w:hint="eastAsia"/>
        </w:rPr>
      </w:pPr>
      <w:bookmarkStart w:id="21" w:name="BookMark1"/>
      <w:bookmarkStart w:id="22" w:name="_Toc167178903"/>
      <w:r>
        <w:rPr>
          <w:rFonts w:hint="eastAsia"/>
          <w:spacing w:val="320"/>
        </w:rPr>
        <w:t>目</w:t>
      </w:r>
      <w:r>
        <w:rPr>
          <w:rFonts w:hint="eastAsia"/>
        </w:rPr>
        <w:t>次</w:t>
      </w:r>
    </w:p>
    <w:p>
      <w:pPr>
        <w:pStyle w:val="19"/>
        <w:tabs>
          <w:tab w:val="right" w:leader="dot" w:pos="9354"/>
        </w:tabs>
      </w:pPr>
      <w:r>
        <w:fldChar w:fldCharType="begin"/>
      </w:r>
      <w:r>
        <w:instrText xml:space="preserve"> TOC \o "1-1" \h \t "标准文件_一级条标题,2,标准文件_附录一级条标题,2," </w:instrText>
      </w:r>
      <w:r>
        <w:fldChar w:fldCharType="separate"/>
      </w:r>
      <w:r>
        <w:fldChar w:fldCharType="begin"/>
      </w:r>
      <w:r>
        <w:instrText xml:space="preserve"> HYPERLINK \l _Toc12913 </w:instrText>
      </w:r>
      <w:r>
        <w:fldChar w:fldCharType="separate"/>
      </w:r>
      <w:r>
        <w:rPr>
          <w:spacing w:val="320"/>
        </w:rPr>
        <w:t>前</w:t>
      </w:r>
      <w:r>
        <w:t>言</w:t>
      </w:r>
      <w:r>
        <w:tab/>
      </w:r>
      <w:r>
        <w:fldChar w:fldCharType="begin"/>
      </w:r>
      <w:r>
        <w:instrText xml:space="preserve"> PAGEREF _Toc12913 \h </w:instrText>
      </w:r>
      <w:r>
        <w:fldChar w:fldCharType="separate"/>
      </w:r>
      <w:r>
        <w:t>II</w:t>
      </w:r>
      <w:r>
        <w:fldChar w:fldCharType="end"/>
      </w:r>
      <w:r>
        <w:fldChar w:fldCharType="end"/>
      </w:r>
    </w:p>
    <w:p>
      <w:pPr>
        <w:pStyle w:val="19"/>
        <w:tabs>
          <w:tab w:val="right" w:leader="dot" w:pos="9354"/>
        </w:tabs>
      </w:pPr>
      <w:r>
        <w:fldChar w:fldCharType="begin"/>
      </w:r>
      <w:r>
        <w:instrText xml:space="preserve"> HYPERLINK \l _Toc19449 </w:instrText>
      </w:r>
      <w:r>
        <w:fldChar w:fldCharType="separate"/>
      </w:r>
      <w:r>
        <w:rPr>
          <w:rFonts w:hint="eastAsia"/>
          <w:spacing w:val="320"/>
          <w:lang w:val="en-US" w:eastAsia="zh-CN"/>
        </w:rPr>
        <w:t>引言</w:t>
      </w:r>
      <w:r>
        <w:tab/>
      </w:r>
      <w:r>
        <w:fldChar w:fldCharType="begin"/>
      </w:r>
      <w:r>
        <w:instrText xml:space="preserve"> PAGEREF _Toc19449 \h </w:instrText>
      </w:r>
      <w:r>
        <w:fldChar w:fldCharType="separate"/>
      </w:r>
      <w:r>
        <w:t>III</w:t>
      </w:r>
      <w:r>
        <w:fldChar w:fldCharType="end"/>
      </w:r>
      <w:r>
        <w:fldChar w:fldCharType="end"/>
      </w:r>
    </w:p>
    <w:p>
      <w:pPr>
        <w:pStyle w:val="19"/>
        <w:tabs>
          <w:tab w:val="right" w:leader="dot" w:pos="9354"/>
        </w:tabs>
      </w:pPr>
      <w:r>
        <w:fldChar w:fldCharType="begin"/>
      </w:r>
      <w:r>
        <w:instrText xml:space="preserve"> HYPERLINK \l _Toc8555 </w:instrText>
      </w:r>
      <w:r>
        <w:fldChar w:fldCharType="separate"/>
      </w:r>
      <w:r>
        <w:rPr>
          <w:rFonts w:hint="eastAsia" w:ascii="黑体" w:eastAsia="黑体"/>
          <w:i w:val="0"/>
        </w:rPr>
        <w:t xml:space="preserve">1 </w:t>
      </w:r>
      <w:r>
        <w:rPr>
          <w:rFonts w:hint="eastAsia"/>
        </w:rPr>
        <w:t>范围</w:t>
      </w:r>
      <w:r>
        <w:tab/>
      </w:r>
      <w:r>
        <w:fldChar w:fldCharType="begin"/>
      </w:r>
      <w:r>
        <w:instrText xml:space="preserve"> PAGEREF _Toc8555 \h </w:instrText>
      </w:r>
      <w:r>
        <w:fldChar w:fldCharType="separate"/>
      </w:r>
      <w:r>
        <w:t>4</w:t>
      </w:r>
      <w:r>
        <w:fldChar w:fldCharType="end"/>
      </w:r>
      <w:r>
        <w:fldChar w:fldCharType="end"/>
      </w:r>
    </w:p>
    <w:p>
      <w:pPr>
        <w:pStyle w:val="19"/>
        <w:tabs>
          <w:tab w:val="right" w:leader="dot" w:pos="9354"/>
        </w:tabs>
      </w:pPr>
      <w:r>
        <w:fldChar w:fldCharType="begin"/>
      </w:r>
      <w:r>
        <w:instrText xml:space="preserve"> HYPERLINK \l _Toc9314 </w:instrText>
      </w:r>
      <w: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_Toc9314 \h </w:instrText>
      </w:r>
      <w:r>
        <w:fldChar w:fldCharType="separate"/>
      </w:r>
      <w:r>
        <w:t>4</w:t>
      </w:r>
      <w:r>
        <w:fldChar w:fldCharType="end"/>
      </w:r>
      <w:r>
        <w:fldChar w:fldCharType="end"/>
      </w:r>
    </w:p>
    <w:p>
      <w:pPr>
        <w:pStyle w:val="19"/>
        <w:tabs>
          <w:tab w:val="right" w:leader="dot" w:pos="9354"/>
        </w:tabs>
      </w:pPr>
      <w:r>
        <w:fldChar w:fldCharType="begin"/>
      </w:r>
      <w:r>
        <w:instrText xml:space="preserve"> HYPERLINK \l _Toc5447 </w:instrText>
      </w:r>
      <w:r>
        <w:fldChar w:fldCharType="separate"/>
      </w:r>
      <w:r>
        <w:rPr>
          <w:rFonts w:hint="eastAsia" w:ascii="黑体" w:eastAsia="黑体"/>
          <w:i w:val="0"/>
        </w:rPr>
        <w:t xml:space="preserve">3 </w:t>
      </w:r>
      <w:r>
        <w:rPr>
          <w:rFonts w:hint="eastAsia"/>
          <w:szCs w:val="21"/>
        </w:rPr>
        <w:t>术语和定义</w:t>
      </w:r>
      <w:r>
        <w:tab/>
      </w:r>
      <w:r>
        <w:fldChar w:fldCharType="begin"/>
      </w:r>
      <w:r>
        <w:instrText xml:space="preserve"> PAGEREF _Toc5447 \h </w:instrText>
      </w:r>
      <w:r>
        <w:fldChar w:fldCharType="separate"/>
      </w:r>
      <w:r>
        <w:t>4</w:t>
      </w:r>
      <w:r>
        <w:fldChar w:fldCharType="end"/>
      </w:r>
      <w:r>
        <w:fldChar w:fldCharType="end"/>
      </w:r>
    </w:p>
    <w:p>
      <w:pPr>
        <w:pStyle w:val="19"/>
        <w:tabs>
          <w:tab w:val="right" w:leader="dot" w:pos="9354"/>
        </w:tabs>
      </w:pPr>
      <w:r>
        <w:fldChar w:fldCharType="begin"/>
      </w:r>
      <w:r>
        <w:instrText xml:space="preserve"> HYPERLINK \l _Toc2606 </w:instrText>
      </w:r>
      <w:r>
        <w:fldChar w:fldCharType="separate"/>
      </w:r>
      <w:r>
        <w:rPr>
          <w:rFonts w:hint="eastAsia" w:ascii="黑体" w:eastAsia="黑体"/>
          <w:i w:val="0"/>
        </w:rPr>
        <w:t xml:space="preserve">4 </w:t>
      </w:r>
      <w:r>
        <w:rPr>
          <w:rFonts w:hint="eastAsia"/>
        </w:rPr>
        <w:t>基本要求</w:t>
      </w:r>
      <w:r>
        <w:tab/>
      </w:r>
      <w:r>
        <w:fldChar w:fldCharType="begin"/>
      </w:r>
      <w:r>
        <w:instrText xml:space="preserve"> PAGEREF _Toc2606 \h </w:instrText>
      </w:r>
      <w:r>
        <w:fldChar w:fldCharType="separate"/>
      </w:r>
      <w:r>
        <w:t>5</w:t>
      </w:r>
      <w:r>
        <w:fldChar w:fldCharType="end"/>
      </w:r>
      <w:r>
        <w:fldChar w:fldCharType="end"/>
      </w:r>
    </w:p>
    <w:p>
      <w:pPr>
        <w:pStyle w:val="19"/>
        <w:tabs>
          <w:tab w:val="right" w:leader="dot" w:pos="9354"/>
        </w:tabs>
      </w:pPr>
      <w:r>
        <w:fldChar w:fldCharType="begin"/>
      </w:r>
      <w:r>
        <w:instrText xml:space="preserve"> HYPERLINK \l _Toc30180 </w:instrText>
      </w:r>
      <w:r>
        <w:fldChar w:fldCharType="separate"/>
      </w:r>
      <w:r>
        <w:rPr>
          <w:rFonts w:hint="eastAsia" w:ascii="黑体" w:eastAsia="黑体"/>
          <w:i w:val="0"/>
        </w:rPr>
        <w:t xml:space="preserve">5 </w:t>
      </w:r>
      <w:r>
        <w:rPr>
          <w:rFonts w:hint="eastAsia"/>
          <w:lang w:val="en-US" w:eastAsia="zh-CN"/>
        </w:rPr>
        <w:t>人力资源配置</w:t>
      </w:r>
      <w:r>
        <w:tab/>
      </w:r>
      <w:r>
        <w:fldChar w:fldCharType="begin"/>
      </w:r>
      <w:r>
        <w:instrText xml:space="preserve"> PAGEREF _Toc30180 \h </w:instrText>
      </w:r>
      <w:r>
        <w:fldChar w:fldCharType="separate"/>
      </w:r>
      <w:r>
        <w:t>5</w:t>
      </w:r>
      <w:r>
        <w:fldChar w:fldCharType="end"/>
      </w:r>
      <w:r>
        <w:fldChar w:fldCharType="end"/>
      </w:r>
    </w:p>
    <w:p>
      <w:pPr>
        <w:pStyle w:val="19"/>
        <w:tabs>
          <w:tab w:val="right" w:leader="dot" w:pos="9354"/>
        </w:tabs>
      </w:pPr>
      <w:r>
        <w:fldChar w:fldCharType="begin"/>
      </w:r>
      <w:r>
        <w:instrText xml:space="preserve"> HYPERLINK \l _Toc12270 </w:instrText>
      </w:r>
      <w:r>
        <w:fldChar w:fldCharType="separate"/>
      </w:r>
      <w:r>
        <w:rPr>
          <w:rFonts w:hint="eastAsia" w:ascii="黑体" w:eastAsia="黑体"/>
          <w:i w:val="0"/>
        </w:rPr>
        <w:t xml:space="preserve">6 </w:t>
      </w:r>
      <w:r>
        <w:rPr>
          <w:rFonts w:hint="eastAsia"/>
        </w:rPr>
        <w:t>设施设备要求</w:t>
      </w:r>
      <w:r>
        <w:tab/>
      </w:r>
      <w:r>
        <w:fldChar w:fldCharType="begin"/>
      </w:r>
      <w:r>
        <w:instrText xml:space="preserve"> PAGEREF _Toc12270 \h </w:instrText>
      </w:r>
      <w:r>
        <w:fldChar w:fldCharType="separate"/>
      </w:r>
      <w:r>
        <w:t>6</w:t>
      </w:r>
      <w:r>
        <w:fldChar w:fldCharType="end"/>
      </w:r>
      <w:r>
        <w:fldChar w:fldCharType="end"/>
      </w:r>
    </w:p>
    <w:p>
      <w:pPr>
        <w:pStyle w:val="19"/>
        <w:tabs>
          <w:tab w:val="right" w:leader="dot" w:pos="9354"/>
        </w:tabs>
      </w:pPr>
      <w:r>
        <w:fldChar w:fldCharType="begin"/>
      </w:r>
      <w:r>
        <w:instrText xml:space="preserve"> HYPERLINK \l _Toc13567 </w:instrText>
      </w:r>
      <w:r>
        <w:fldChar w:fldCharType="separate"/>
      </w:r>
      <w:r>
        <w:rPr>
          <w:rFonts w:hint="eastAsia" w:ascii="黑体" w:eastAsia="黑体"/>
          <w:i w:val="0"/>
        </w:rPr>
        <w:t xml:space="preserve">7 </w:t>
      </w:r>
      <w:r>
        <w:rPr>
          <w:rFonts w:hint="eastAsia"/>
          <w:lang w:val="en-US" w:eastAsia="zh-CN"/>
        </w:rPr>
        <w:t>信息化建设</w:t>
      </w:r>
      <w:r>
        <w:tab/>
      </w:r>
      <w:r>
        <w:fldChar w:fldCharType="begin"/>
      </w:r>
      <w:r>
        <w:instrText xml:space="preserve"> PAGEREF _Toc13567 \h </w:instrText>
      </w:r>
      <w:r>
        <w:fldChar w:fldCharType="separate"/>
      </w:r>
      <w:r>
        <w:t>6</w:t>
      </w:r>
      <w:r>
        <w:fldChar w:fldCharType="end"/>
      </w:r>
      <w:r>
        <w:fldChar w:fldCharType="end"/>
      </w:r>
    </w:p>
    <w:p>
      <w:pPr>
        <w:pStyle w:val="19"/>
        <w:tabs>
          <w:tab w:val="right" w:leader="dot" w:pos="9354"/>
        </w:tabs>
      </w:pPr>
      <w:r>
        <w:fldChar w:fldCharType="begin"/>
      </w:r>
      <w:r>
        <w:instrText xml:space="preserve"> HYPERLINK \l _Toc19503 </w:instrText>
      </w:r>
      <w:r>
        <w:fldChar w:fldCharType="separate"/>
      </w:r>
      <w:r>
        <w:rPr>
          <w:rFonts w:hint="eastAsia" w:ascii="黑体" w:eastAsia="黑体"/>
          <w:i w:val="0"/>
        </w:rPr>
        <w:t xml:space="preserve">8 </w:t>
      </w:r>
      <w:r>
        <w:rPr>
          <w:rFonts w:hint="eastAsia"/>
          <w:lang w:val="en-US" w:eastAsia="zh-CN"/>
        </w:rPr>
        <w:t>运行管理</w:t>
      </w:r>
      <w:r>
        <w:tab/>
      </w:r>
      <w:r>
        <w:fldChar w:fldCharType="begin"/>
      </w:r>
      <w:r>
        <w:instrText xml:space="preserve"> PAGEREF _Toc19503 \h </w:instrText>
      </w:r>
      <w:r>
        <w:fldChar w:fldCharType="separate"/>
      </w:r>
      <w:r>
        <w:t>8</w:t>
      </w:r>
      <w:r>
        <w:fldChar w:fldCharType="end"/>
      </w:r>
      <w:r>
        <w:fldChar w:fldCharType="end"/>
      </w:r>
    </w:p>
    <w:p>
      <w:pPr>
        <w:pStyle w:val="19"/>
        <w:tabs>
          <w:tab w:val="right" w:leader="dot" w:pos="9354"/>
        </w:tabs>
      </w:pPr>
      <w:r>
        <w:fldChar w:fldCharType="begin"/>
      </w:r>
      <w:r>
        <w:instrText xml:space="preserve"> HYPERLINK \l _Toc5032 </w:instrText>
      </w:r>
      <w:r>
        <w:fldChar w:fldCharType="separate"/>
      </w:r>
      <w:r>
        <w:rPr>
          <w:rFonts w:hint="eastAsia"/>
          <w:spacing w:val="105"/>
        </w:rPr>
        <w:t>参考文</w:t>
      </w:r>
      <w:r>
        <w:rPr>
          <w:rFonts w:hint="eastAsia"/>
        </w:rPr>
        <w:t>献</w:t>
      </w:r>
      <w:r>
        <w:tab/>
      </w:r>
      <w:r>
        <w:fldChar w:fldCharType="begin"/>
      </w:r>
      <w:r>
        <w:instrText xml:space="preserve"> PAGEREF _Toc5032 \h </w:instrText>
      </w:r>
      <w:r>
        <w:fldChar w:fldCharType="separate"/>
      </w:r>
      <w:r>
        <w:t>9</w:t>
      </w:r>
      <w:r>
        <w:fldChar w:fldCharType="end"/>
      </w:r>
      <w:r>
        <w:fldChar w:fldCharType="end"/>
      </w:r>
    </w:p>
    <w:p>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89"/>
        <w:spacing w:before="900" w:after="468"/>
      </w:pPr>
      <w:bookmarkStart w:id="23" w:name="_Toc12913"/>
      <w:bookmarkStart w:id="24" w:name="BookMark2"/>
      <w:r>
        <w:rPr>
          <w:spacing w:val="320"/>
        </w:rPr>
        <w:t>前</w:t>
      </w:r>
      <w:r>
        <w:t>言</w:t>
      </w:r>
      <w:bookmarkEnd w:id="22"/>
      <w:bookmarkEnd w:id="23"/>
    </w:p>
    <w:p>
      <w:pPr>
        <w:pStyle w:val="56"/>
        <w:ind w:firstLine="420"/>
        <w:rPr>
          <w:rFonts w:hint="eastAsia"/>
        </w:rPr>
      </w:pPr>
      <w:r>
        <w:rPr>
          <w:rFonts w:hint="eastAsia"/>
        </w:rPr>
        <w:t>本文件按照GB/T 1.1—2020《标准化工作导则  第1部分：标准化文件的结构和起草规则》的规定起草。</w:t>
      </w:r>
    </w:p>
    <w:p>
      <w:pPr>
        <w:pStyle w:val="56"/>
        <w:ind w:firstLine="420"/>
      </w:pPr>
      <w:r>
        <w:rPr>
          <w:rFonts w:hint="eastAsia"/>
        </w:rPr>
        <w:t>本文件是D</w:t>
      </w:r>
      <w:r>
        <w:t>B32/T XXX</w:t>
      </w:r>
      <w:r>
        <w:rPr>
          <w:rFonts w:hint="eastAsia"/>
        </w:rPr>
        <w:t>《</w:t>
      </w:r>
      <w:r>
        <w:rPr>
          <w:rFonts w:hint="eastAsia"/>
          <w:lang w:val="en-US" w:eastAsia="zh-CN"/>
        </w:rPr>
        <w:t>县级（区域）医疗资源集中化运行建设</w:t>
      </w:r>
      <w:r>
        <w:rPr>
          <w:rFonts w:hint="eastAsia"/>
        </w:rPr>
        <w:t>规范》第</w:t>
      </w:r>
      <w:r>
        <w:rPr>
          <w:rFonts w:hint="eastAsia"/>
          <w:lang w:val="en-US" w:eastAsia="zh-CN"/>
        </w:rPr>
        <w:t>4</w:t>
      </w:r>
      <w:r>
        <w:rPr>
          <w:rFonts w:hint="eastAsia"/>
        </w:rPr>
        <w:t>部分。D</w:t>
      </w:r>
      <w:r>
        <w:t>B32/T XXX</w:t>
      </w:r>
      <w:r>
        <w:rPr>
          <w:rFonts w:hint="eastAsia"/>
        </w:rPr>
        <w:t>已经发布了以下部分：</w:t>
      </w:r>
    </w:p>
    <w:p>
      <w:pPr>
        <w:pStyle w:val="56"/>
        <w:ind w:firstLine="420"/>
        <w:rPr>
          <w:rFonts w:hint="eastAsia" w:hAnsi="Times New Roman" w:cs="Times New Roman"/>
        </w:rPr>
      </w:pPr>
      <w:r>
        <w:rPr>
          <w:rFonts w:hint="eastAsia"/>
        </w:rPr>
        <w:t>--第1部分：</w:t>
      </w:r>
      <w:r>
        <w:rPr>
          <w:rFonts w:hint="eastAsia" w:hAnsi="Times New Roman" w:cs="Times New Roman"/>
          <w:lang w:val="en-US" w:eastAsia="zh-CN"/>
        </w:rPr>
        <w:t>集中审方中心</w:t>
      </w:r>
      <w:r>
        <w:rPr>
          <w:rFonts w:hint="eastAsia" w:hAnsi="Times New Roman" w:cs="Times New Roman"/>
        </w:rPr>
        <w:t>；</w:t>
      </w:r>
    </w:p>
    <w:p>
      <w:pPr>
        <w:pStyle w:val="56"/>
        <w:ind w:firstLine="420"/>
        <w:rPr>
          <w:rFonts w:hint="eastAsia" w:hAnsi="Times New Roman" w:cs="Times New Roman"/>
        </w:rPr>
      </w:pPr>
      <w:r>
        <w:rPr>
          <w:rFonts w:hint="eastAsia" w:hAnsi="Times New Roman" w:cs="Times New Roman"/>
        </w:rPr>
        <w:t>--第2部分：</w:t>
      </w:r>
      <w:r>
        <w:rPr>
          <w:rFonts w:hint="eastAsia" w:hAnsi="Times New Roman" w:cs="Times New Roman"/>
          <w:lang w:val="en-US" w:eastAsia="zh-CN"/>
        </w:rPr>
        <w:t>区域影像中心</w:t>
      </w:r>
      <w:r>
        <w:rPr>
          <w:rFonts w:hint="eastAsia" w:hAnsi="Times New Roman" w:cs="Times New Roman"/>
        </w:rPr>
        <w:t>；</w:t>
      </w:r>
    </w:p>
    <w:p>
      <w:pPr>
        <w:pStyle w:val="56"/>
        <w:ind w:firstLine="420"/>
        <w:rPr>
          <w:rFonts w:hint="eastAsia" w:hAnsi="Times New Roman" w:cs="Times New Roman"/>
        </w:rPr>
      </w:pPr>
      <w:r>
        <w:rPr>
          <w:rFonts w:hint="eastAsia" w:hAnsi="Times New Roman" w:cs="Times New Roman"/>
        </w:rPr>
        <w:t>--第3部分：</w:t>
      </w:r>
      <w:r>
        <w:rPr>
          <w:rFonts w:hint="eastAsia" w:hAnsi="Times New Roman" w:cs="Times New Roman"/>
          <w:lang w:val="en-US" w:eastAsia="zh-CN"/>
        </w:rPr>
        <w:t>智慧急救中心</w:t>
      </w:r>
      <w:r>
        <w:rPr>
          <w:rFonts w:hint="eastAsia" w:hAnsi="Times New Roman" w:cs="Times New Roman"/>
        </w:rPr>
        <w:t>；</w:t>
      </w:r>
    </w:p>
    <w:p>
      <w:pPr>
        <w:pStyle w:val="56"/>
        <w:ind w:firstLine="420"/>
        <w:rPr>
          <w:rFonts w:hint="eastAsia" w:hAnsi="Times New Roman" w:cs="Times New Roman"/>
        </w:rPr>
      </w:pPr>
      <w:r>
        <w:rPr>
          <w:rFonts w:hint="eastAsia" w:hAnsi="Times New Roman" w:cs="Times New Roman"/>
        </w:rPr>
        <w:t>--第4部分：</w:t>
      </w:r>
      <w:r>
        <w:rPr>
          <w:rFonts w:hint="eastAsia" w:hAnsi="Times New Roman" w:cs="Times New Roman"/>
          <w:lang w:val="en-US" w:eastAsia="zh-CN"/>
        </w:rPr>
        <w:t>远程会诊中心</w:t>
      </w:r>
      <w:r>
        <w:rPr>
          <w:rFonts w:hint="eastAsia" w:hAnsi="Times New Roman" w:cs="Times New Roman"/>
        </w:rPr>
        <w:t>；</w:t>
      </w:r>
    </w:p>
    <w:p>
      <w:pPr>
        <w:pStyle w:val="56"/>
        <w:ind w:firstLine="420"/>
        <w:rPr>
          <w:rFonts w:hint="eastAsia" w:hAnsi="Times New Roman" w:cs="Times New Roman"/>
        </w:rPr>
      </w:pPr>
      <w:r>
        <w:rPr>
          <w:rFonts w:hint="eastAsia" w:hAnsi="Times New Roman" w:cs="Times New Roman"/>
        </w:rPr>
        <w:t>--第5部分：</w:t>
      </w:r>
      <w:r>
        <w:rPr>
          <w:rFonts w:hint="eastAsia" w:hAnsi="Times New Roman" w:cs="Times New Roman"/>
          <w:lang w:val="en-US" w:eastAsia="zh-CN"/>
        </w:rPr>
        <w:t>网络心电中心</w:t>
      </w:r>
      <w:r>
        <w:rPr>
          <w:rFonts w:hint="eastAsia" w:hAnsi="Times New Roman" w:cs="Times New Roman"/>
        </w:rPr>
        <w:t>；</w:t>
      </w:r>
    </w:p>
    <w:p>
      <w:pPr>
        <w:pStyle w:val="56"/>
        <w:ind w:firstLine="420"/>
        <w:rPr>
          <w:rFonts w:hint="eastAsia" w:hAnsi="Times New Roman" w:cs="Times New Roman"/>
        </w:rPr>
      </w:pPr>
      <w:r>
        <w:rPr>
          <w:rFonts w:hint="eastAsia" w:hAnsi="Times New Roman" w:cs="Times New Roman"/>
        </w:rPr>
        <w:t>--第6部分：</w:t>
      </w:r>
      <w:r>
        <w:rPr>
          <w:rFonts w:hint="eastAsia" w:hAnsi="Times New Roman" w:cs="Times New Roman"/>
          <w:lang w:val="en-US" w:eastAsia="zh-CN"/>
        </w:rPr>
        <w:t>健康随访中心</w:t>
      </w:r>
      <w:r>
        <w:rPr>
          <w:rFonts w:hint="eastAsia" w:hAnsi="Times New Roman" w:cs="Times New Roman"/>
        </w:rPr>
        <w:t>；</w:t>
      </w:r>
    </w:p>
    <w:p>
      <w:pPr>
        <w:pStyle w:val="56"/>
        <w:ind w:firstLine="420"/>
        <w:rPr>
          <w:rFonts w:hint="eastAsia" w:hAnsi="Times New Roman" w:cs="Times New Roman"/>
        </w:rPr>
      </w:pPr>
      <w:r>
        <w:rPr>
          <w:rFonts w:hint="eastAsia" w:hAnsi="Times New Roman" w:cs="Times New Roman"/>
        </w:rPr>
        <w:t>--第7部分：</w:t>
      </w:r>
      <w:r>
        <w:rPr>
          <w:rFonts w:hint="eastAsia" w:hAnsi="Times New Roman" w:cs="Times New Roman"/>
          <w:lang w:val="en-US" w:eastAsia="zh-CN"/>
        </w:rPr>
        <w:t>临床检验中心</w:t>
      </w:r>
      <w:r>
        <w:rPr>
          <w:rFonts w:hint="eastAsia" w:hAnsi="Times New Roman" w:cs="Times New Roman"/>
        </w:rPr>
        <w:t>；</w:t>
      </w:r>
    </w:p>
    <w:p>
      <w:pPr>
        <w:pStyle w:val="56"/>
        <w:ind w:firstLine="420"/>
        <w:rPr>
          <w:rFonts w:hint="eastAsia" w:hAnsi="Times New Roman" w:cs="Times New Roman"/>
        </w:rPr>
      </w:pPr>
      <w:r>
        <w:rPr>
          <w:rFonts w:hint="eastAsia" w:hAnsi="Times New Roman" w:cs="Times New Roman"/>
        </w:rPr>
        <w:t>--第8部分：</w:t>
      </w:r>
      <w:r>
        <w:rPr>
          <w:rFonts w:hint="eastAsia" w:hAnsi="Times New Roman" w:cs="Times New Roman"/>
          <w:lang w:val="en-US" w:eastAsia="zh-CN"/>
        </w:rPr>
        <w:t>消毒供应中心</w:t>
      </w:r>
      <w:r>
        <w:rPr>
          <w:rFonts w:hint="eastAsia" w:hAnsi="Times New Roman" w:cs="Times New Roman"/>
        </w:rPr>
        <w:t>；</w:t>
      </w:r>
    </w:p>
    <w:p>
      <w:pPr>
        <w:pStyle w:val="56"/>
        <w:ind w:firstLine="420"/>
      </w:pPr>
      <w:r>
        <w:rPr>
          <w:rFonts w:hint="eastAsia" w:hAnsi="Times New Roman" w:cs="Times New Roman"/>
        </w:rPr>
        <w:t>--第9部分：</w:t>
      </w:r>
      <w:r>
        <w:rPr>
          <w:rFonts w:hint="eastAsia" w:hAnsi="Times New Roman" w:cs="Times New Roman"/>
          <w:lang w:val="en-US" w:eastAsia="zh-CN"/>
        </w:rPr>
        <w:t>互联网医院中心</w:t>
      </w:r>
      <w:r>
        <w:rPr>
          <w:rFonts w:hint="eastAsia"/>
        </w:rPr>
        <w:t>。</w:t>
      </w:r>
    </w:p>
    <w:p>
      <w:pPr>
        <w:pStyle w:val="56"/>
        <w:ind w:firstLine="420"/>
      </w:pPr>
      <w:r>
        <w:rPr>
          <w:rFonts w:hint="eastAsia"/>
        </w:rPr>
        <w:t>请注意本文件的某些内容可能涉及专利。本文件的发布机构不承担识别专利的责任。</w:t>
      </w:r>
    </w:p>
    <w:p>
      <w:pPr>
        <w:pStyle w:val="56"/>
        <w:ind w:firstLine="420"/>
      </w:pPr>
      <w:r>
        <w:rPr>
          <w:rFonts w:hint="eastAsia"/>
        </w:rPr>
        <w:t>本文件由江苏省卫生健康委提出。</w:t>
      </w:r>
    </w:p>
    <w:p>
      <w:pPr>
        <w:pStyle w:val="56"/>
        <w:ind w:firstLine="420"/>
      </w:pPr>
      <w:r>
        <w:rPr>
          <w:rFonts w:hint="eastAsia"/>
        </w:rPr>
        <w:t>本文件由江苏省卫生标准化技术委员会归口。</w:t>
      </w:r>
    </w:p>
    <w:p>
      <w:pPr>
        <w:pStyle w:val="56"/>
        <w:ind w:firstLine="420"/>
        <w:rPr>
          <w:rFonts w:hint="default" w:eastAsia="宋体"/>
          <w:lang w:val="en-US" w:eastAsia="zh-CN"/>
        </w:rPr>
      </w:pPr>
      <w:r>
        <w:rPr>
          <w:rFonts w:hint="eastAsia"/>
        </w:rPr>
        <w:t>本文件起草单位：东台市人民医院</w:t>
      </w:r>
      <w:r>
        <w:rPr>
          <w:rFonts w:hint="eastAsia"/>
          <w:lang w:eastAsia="zh-CN"/>
        </w:rPr>
        <w:t>、</w:t>
      </w:r>
      <w:r>
        <w:rPr>
          <w:rFonts w:hint="eastAsia"/>
          <w:lang w:val="en-US" w:eastAsia="zh-CN"/>
        </w:rPr>
        <w:t>南京鼓楼医院、盐城市第一人民医院、南通市第一人民医院、盐城市第三人民医院、泰兴市人民医院、张家港市第一人民医院</w:t>
      </w:r>
    </w:p>
    <w:p>
      <w:pPr>
        <w:pStyle w:val="56"/>
        <w:ind w:firstLine="420"/>
        <w:rPr>
          <w:rFonts w:hint="eastAsia"/>
          <w:lang w:eastAsia="zh-CN"/>
        </w:rPr>
      </w:pPr>
      <w:r>
        <w:rPr>
          <w:rFonts w:hint="eastAsia"/>
        </w:rPr>
        <w:t>本文件主要起草人：王桂宏、秦惊宇</w:t>
      </w:r>
      <w:r>
        <w:rPr>
          <w:rFonts w:hint="eastAsia"/>
          <w:lang w:eastAsia="zh-CN"/>
        </w:rPr>
        <w:t>、</w:t>
      </w:r>
      <w:r>
        <w:rPr>
          <w:rFonts w:hint="eastAsia"/>
        </w:rPr>
        <w:t>常平安、</w:t>
      </w:r>
      <w:r>
        <w:rPr>
          <w:rFonts w:hint="eastAsia"/>
          <w:lang w:val="en-US" w:eastAsia="zh-CN"/>
        </w:rPr>
        <w:t>景抗震、</w:t>
      </w:r>
      <w:r>
        <w:rPr>
          <w:rFonts w:hint="eastAsia"/>
        </w:rPr>
        <w:t>尤兵</w:t>
      </w:r>
      <w:r>
        <w:rPr>
          <w:rFonts w:hint="eastAsia"/>
          <w:lang w:eastAsia="zh-CN"/>
        </w:rPr>
        <w:t>、沈君华、肖厚炜、徐康、陈康</w:t>
      </w:r>
    </w:p>
    <w:p>
      <w:pPr>
        <w:pStyle w:val="56"/>
        <w:ind w:firstLine="420"/>
        <w:rPr>
          <w:rFonts w:hint="eastAsia"/>
          <w:lang w:eastAsia="zh-CN"/>
        </w:rPr>
      </w:pPr>
    </w:p>
    <w:p>
      <w:pPr>
        <w:pStyle w:val="56"/>
        <w:ind w:firstLine="420"/>
        <w:rPr>
          <w:rFonts w:hint="eastAsia"/>
          <w:lang w:eastAsia="zh-CN"/>
        </w:rPr>
      </w:pPr>
    </w:p>
    <w:p>
      <w:pPr>
        <w:pStyle w:val="56"/>
        <w:ind w:firstLine="420"/>
        <w:rPr>
          <w:rFonts w:hint="eastAsia"/>
          <w:lang w:eastAsia="zh-CN"/>
        </w:rPr>
      </w:pPr>
    </w:p>
    <w:p>
      <w:pPr>
        <w:pStyle w:val="56"/>
        <w:ind w:firstLine="420"/>
        <w:rPr>
          <w:rFonts w:hint="eastAsia"/>
          <w:lang w:eastAsia="zh-CN"/>
        </w:rPr>
      </w:pPr>
    </w:p>
    <w:p>
      <w:pPr>
        <w:pStyle w:val="56"/>
        <w:ind w:firstLine="420"/>
        <w:rPr>
          <w:rFonts w:hint="eastAsia"/>
          <w:lang w:eastAsia="zh-CN"/>
        </w:rPr>
      </w:pPr>
    </w:p>
    <w:p>
      <w:pPr>
        <w:pStyle w:val="56"/>
        <w:ind w:firstLine="420"/>
        <w:rPr>
          <w:rFonts w:hint="eastAsia"/>
          <w:lang w:eastAsia="zh-CN"/>
        </w:rPr>
      </w:pPr>
    </w:p>
    <w:p>
      <w:pPr>
        <w:pStyle w:val="56"/>
        <w:ind w:firstLine="420"/>
        <w:rPr>
          <w:rFonts w:hint="eastAsia"/>
          <w:lang w:eastAsia="zh-CN"/>
        </w:rPr>
      </w:pPr>
    </w:p>
    <w:p>
      <w:pPr>
        <w:pStyle w:val="56"/>
        <w:ind w:firstLine="420"/>
        <w:rPr>
          <w:rFonts w:hint="eastAsia"/>
          <w:lang w:eastAsia="zh-CN"/>
        </w:rPr>
      </w:pPr>
    </w:p>
    <w:p>
      <w:pPr>
        <w:pStyle w:val="56"/>
        <w:ind w:firstLine="420"/>
        <w:rPr>
          <w:rFonts w:hint="eastAsia"/>
          <w:lang w:eastAsia="zh-CN"/>
        </w:rPr>
      </w:pPr>
    </w:p>
    <w:p>
      <w:pPr>
        <w:pStyle w:val="56"/>
        <w:ind w:firstLine="420"/>
        <w:rPr>
          <w:rFonts w:hint="eastAsia"/>
          <w:lang w:eastAsia="zh-CN"/>
        </w:rPr>
      </w:pPr>
    </w:p>
    <w:p>
      <w:pPr>
        <w:pStyle w:val="56"/>
        <w:ind w:firstLine="420"/>
        <w:rPr>
          <w:rFonts w:hint="eastAsia"/>
          <w:lang w:eastAsia="zh-CN"/>
        </w:rPr>
      </w:pPr>
    </w:p>
    <w:p>
      <w:pPr>
        <w:pStyle w:val="56"/>
        <w:ind w:firstLine="420"/>
        <w:rPr>
          <w:rFonts w:hint="eastAsia"/>
          <w:lang w:eastAsia="zh-CN"/>
        </w:rPr>
      </w:pPr>
    </w:p>
    <w:p>
      <w:pPr>
        <w:pStyle w:val="56"/>
        <w:ind w:firstLine="420"/>
        <w:rPr>
          <w:rFonts w:hint="eastAsia"/>
          <w:lang w:eastAsia="zh-CN"/>
        </w:rPr>
      </w:pPr>
    </w:p>
    <w:p>
      <w:pPr>
        <w:pStyle w:val="56"/>
        <w:ind w:firstLine="420"/>
        <w:rPr>
          <w:rFonts w:hint="eastAsia"/>
          <w:lang w:eastAsia="zh-CN"/>
        </w:rPr>
      </w:pPr>
    </w:p>
    <w:p>
      <w:pPr>
        <w:pStyle w:val="56"/>
        <w:ind w:firstLine="420"/>
        <w:rPr>
          <w:rFonts w:hint="eastAsia"/>
          <w:lang w:eastAsia="zh-CN"/>
        </w:rPr>
      </w:pPr>
    </w:p>
    <w:p>
      <w:pPr>
        <w:pStyle w:val="56"/>
        <w:ind w:firstLine="420"/>
        <w:rPr>
          <w:rFonts w:hint="eastAsia"/>
          <w:lang w:eastAsia="zh-CN"/>
        </w:rPr>
      </w:pPr>
    </w:p>
    <w:p>
      <w:pPr>
        <w:pStyle w:val="56"/>
        <w:ind w:firstLine="420"/>
        <w:rPr>
          <w:rFonts w:hint="eastAsia"/>
          <w:lang w:eastAsia="zh-CN"/>
        </w:rPr>
      </w:pPr>
    </w:p>
    <w:p>
      <w:pPr>
        <w:pStyle w:val="56"/>
        <w:ind w:firstLine="420"/>
        <w:rPr>
          <w:rFonts w:hint="eastAsia"/>
          <w:lang w:eastAsia="zh-CN"/>
        </w:rPr>
      </w:pPr>
    </w:p>
    <w:p>
      <w:pPr>
        <w:pStyle w:val="56"/>
        <w:ind w:left="0" w:leftChars="0" w:firstLine="0" w:firstLineChars="0"/>
        <w:rPr>
          <w:rFonts w:hint="eastAsia"/>
          <w:lang w:eastAsia="zh-CN"/>
        </w:rPr>
      </w:pPr>
    </w:p>
    <w:p>
      <w:pPr>
        <w:pStyle w:val="89"/>
        <w:spacing w:before="900" w:after="468"/>
      </w:pPr>
      <w:bookmarkStart w:id="25" w:name="_Toc19449"/>
      <w:r>
        <w:rPr>
          <w:rFonts w:hint="eastAsia"/>
          <w:spacing w:val="320"/>
          <w:lang w:val="en-US" w:eastAsia="zh-CN"/>
        </w:rPr>
        <w:t>引言</w:t>
      </w:r>
      <w:bookmarkEnd w:id="25"/>
    </w:p>
    <w:p>
      <w:pPr>
        <w:pStyle w:val="56"/>
        <w:ind w:firstLine="420"/>
        <w:rPr>
          <w:rFonts w:hint="eastAsia"/>
          <w:lang w:eastAsia="zh-CN"/>
        </w:rPr>
      </w:pPr>
    </w:p>
    <w:p>
      <w:pPr>
        <w:pStyle w:val="56"/>
        <w:ind w:firstLine="420"/>
        <w:rPr>
          <w:rFonts w:hint="eastAsia"/>
        </w:rPr>
      </w:pPr>
      <w:r>
        <w:rPr>
          <w:rFonts w:hint="eastAsia" w:hAnsi="Times New Roman" w:cs="Times New Roman"/>
        </w:rPr>
        <w:t>县域</w:t>
      </w:r>
      <w:r>
        <w:rPr>
          <w:rFonts w:hint="eastAsia" w:hAnsi="Times New Roman" w:cs="Times New Roman"/>
          <w:lang w:val="en-US" w:eastAsia="zh-CN"/>
        </w:rPr>
        <w:t>紧密型</w:t>
      </w:r>
      <w:r>
        <w:rPr>
          <w:rFonts w:hint="eastAsia" w:hAnsi="Times New Roman" w:cs="Times New Roman"/>
        </w:rPr>
        <w:t>医共体作为推进分级诊疗体系的重要抓手，普遍面临着多层级医疗资源配置不平衡、医疗服务能力不强、就医信息化程度滞后等问题</w:t>
      </w:r>
      <w:r>
        <w:rPr>
          <w:rFonts w:hint="eastAsia" w:hAnsi="Times New Roman" w:cs="Times New Roman"/>
          <w:lang w:eastAsia="zh-CN"/>
        </w:rPr>
        <w:t>。</w:t>
      </w:r>
      <w:r>
        <w:rPr>
          <w:rFonts w:hint="eastAsia"/>
        </w:rPr>
        <w:t>本文件为提升江苏省</w:t>
      </w:r>
      <w:r>
        <w:rPr>
          <w:rFonts w:hint="eastAsia"/>
          <w:lang w:val="en-US" w:eastAsia="zh-CN"/>
        </w:rPr>
        <w:t>县级（区域）医疗资源集中化运行建设规范，推动</w:t>
      </w:r>
      <w:r>
        <w:rPr>
          <w:rFonts w:hint="eastAsia" w:hAnsi="Times New Roman" w:cs="Times New Roman"/>
        </w:rPr>
        <w:t>县域内各医疗机构</w:t>
      </w:r>
      <w:r>
        <w:rPr>
          <w:rFonts w:hint="eastAsia" w:hAnsi="Times New Roman" w:cs="Times New Roman"/>
          <w:lang w:val="en-US" w:eastAsia="zh-CN"/>
        </w:rPr>
        <w:t>成</w:t>
      </w:r>
      <w:r>
        <w:rPr>
          <w:rFonts w:hint="eastAsia" w:hAnsi="Times New Roman" w:cs="Times New Roman"/>
        </w:rPr>
        <w:t>为一个价值同向的共同体</w:t>
      </w:r>
      <w:r>
        <w:rPr>
          <w:rFonts w:hint="eastAsia"/>
        </w:rPr>
        <w:t>的目标而制定。</w:t>
      </w:r>
    </w:p>
    <w:p>
      <w:pPr>
        <w:pStyle w:val="56"/>
        <w:ind w:firstLine="420"/>
        <w:rPr>
          <w:rFonts w:hint="eastAsia"/>
        </w:rPr>
      </w:pPr>
      <w:r>
        <w:rPr>
          <w:rFonts w:hint="eastAsia"/>
        </w:rPr>
        <w:t>DB32/T XXX《</w:t>
      </w:r>
      <w:r>
        <w:rPr>
          <w:rFonts w:hint="eastAsia"/>
          <w:lang w:val="en-US" w:eastAsia="zh-CN"/>
        </w:rPr>
        <w:t>县级（区域）医疗资源集中化运行建设</w:t>
      </w:r>
      <w:r>
        <w:rPr>
          <w:rFonts w:hint="eastAsia"/>
        </w:rPr>
        <w:t>规范》分为以下</w:t>
      </w:r>
      <w:r>
        <w:rPr>
          <w:rFonts w:hint="eastAsia"/>
          <w:lang w:val="en-US" w:eastAsia="zh-CN"/>
        </w:rPr>
        <w:t>9</w:t>
      </w:r>
      <w:r>
        <w:rPr>
          <w:rFonts w:hint="eastAsia"/>
        </w:rPr>
        <w:t>个部分：</w:t>
      </w:r>
    </w:p>
    <w:p>
      <w:pPr>
        <w:pStyle w:val="56"/>
        <w:ind w:firstLine="420"/>
        <w:rPr>
          <w:rFonts w:hint="eastAsia" w:hAnsi="Times New Roman" w:cs="Times New Roman"/>
        </w:rPr>
      </w:pPr>
      <w:r>
        <w:rPr>
          <w:rFonts w:hint="eastAsia"/>
        </w:rPr>
        <w:t>--第1部分：</w:t>
      </w:r>
      <w:r>
        <w:rPr>
          <w:rFonts w:hint="eastAsia" w:hAnsi="Times New Roman" w:cs="Times New Roman"/>
          <w:lang w:val="en-US" w:eastAsia="zh-CN"/>
        </w:rPr>
        <w:t>集中审方中心</w:t>
      </w:r>
      <w:r>
        <w:rPr>
          <w:rFonts w:hint="eastAsia" w:hAnsi="Times New Roman" w:cs="Times New Roman"/>
        </w:rPr>
        <w:t>；</w:t>
      </w:r>
    </w:p>
    <w:p>
      <w:pPr>
        <w:pStyle w:val="56"/>
        <w:ind w:firstLine="420"/>
        <w:rPr>
          <w:rFonts w:hint="eastAsia" w:hAnsi="Times New Roman" w:cs="Times New Roman"/>
        </w:rPr>
      </w:pPr>
      <w:r>
        <w:rPr>
          <w:rFonts w:hint="eastAsia" w:hAnsi="Times New Roman" w:cs="Times New Roman"/>
        </w:rPr>
        <w:t>--第2部分：</w:t>
      </w:r>
      <w:r>
        <w:rPr>
          <w:rFonts w:hint="eastAsia" w:hAnsi="Times New Roman" w:cs="Times New Roman"/>
          <w:lang w:val="en-US" w:eastAsia="zh-CN"/>
        </w:rPr>
        <w:t>区域影像中心</w:t>
      </w:r>
      <w:r>
        <w:rPr>
          <w:rFonts w:hint="eastAsia" w:hAnsi="Times New Roman" w:cs="Times New Roman"/>
        </w:rPr>
        <w:t>；</w:t>
      </w:r>
    </w:p>
    <w:p>
      <w:pPr>
        <w:pStyle w:val="56"/>
        <w:ind w:firstLine="420"/>
        <w:rPr>
          <w:rFonts w:hint="eastAsia" w:hAnsi="Times New Roman" w:cs="Times New Roman"/>
        </w:rPr>
      </w:pPr>
      <w:r>
        <w:rPr>
          <w:rFonts w:hint="eastAsia" w:hAnsi="Times New Roman" w:cs="Times New Roman"/>
        </w:rPr>
        <w:t>--第3部分：</w:t>
      </w:r>
      <w:r>
        <w:rPr>
          <w:rFonts w:hint="eastAsia" w:hAnsi="Times New Roman" w:cs="Times New Roman"/>
          <w:lang w:val="en-US" w:eastAsia="zh-CN"/>
        </w:rPr>
        <w:t>智慧急救中心</w:t>
      </w:r>
      <w:r>
        <w:rPr>
          <w:rFonts w:hint="eastAsia" w:hAnsi="Times New Roman" w:cs="Times New Roman"/>
        </w:rPr>
        <w:t>；</w:t>
      </w:r>
    </w:p>
    <w:p>
      <w:pPr>
        <w:pStyle w:val="56"/>
        <w:ind w:firstLine="420"/>
        <w:rPr>
          <w:rFonts w:hint="eastAsia" w:hAnsi="Times New Roman" w:cs="Times New Roman"/>
        </w:rPr>
      </w:pPr>
      <w:r>
        <w:rPr>
          <w:rFonts w:hint="eastAsia" w:hAnsi="Times New Roman" w:cs="Times New Roman"/>
        </w:rPr>
        <w:t>--第4部分：</w:t>
      </w:r>
      <w:r>
        <w:rPr>
          <w:rFonts w:hint="eastAsia" w:hAnsi="Times New Roman" w:cs="Times New Roman"/>
          <w:lang w:val="en-US" w:eastAsia="zh-CN"/>
        </w:rPr>
        <w:t>远程会诊中心</w:t>
      </w:r>
      <w:r>
        <w:rPr>
          <w:rFonts w:hint="eastAsia" w:hAnsi="Times New Roman" w:cs="Times New Roman"/>
        </w:rPr>
        <w:t>；</w:t>
      </w:r>
    </w:p>
    <w:p>
      <w:pPr>
        <w:pStyle w:val="56"/>
        <w:ind w:firstLine="420"/>
        <w:rPr>
          <w:rFonts w:hint="eastAsia" w:hAnsi="Times New Roman" w:cs="Times New Roman"/>
        </w:rPr>
      </w:pPr>
      <w:r>
        <w:rPr>
          <w:rFonts w:hint="eastAsia" w:hAnsi="Times New Roman" w:cs="Times New Roman"/>
        </w:rPr>
        <w:t>--第5部分：</w:t>
      </w:r>
      <w:r>
        <w:rPr>
          <w:rFonts w:hint="eastAsia" w:hAnsi="Times New Roman" w:cs="Times New Roman"/>
          <w:lang w:val="en-US" w:eastAsia="zh-CN"/>
        </w:rPr>
        <w:t>网络心电中心</w:t>
      </w:r>
      <w:r>
        <w:rPr>
          <w:rFonts w:hint="eastAsia" w:hAnsi="Times New Roman" w:cs="Times New Roman"/>
        </w:rPr>
        <w:t>；</w:t>
      </w:r>
    </w:p>
    <w:p>
      <w:pPr>
        <w:pStyle w:val="56"/>
        <w:ind w:firstLine="420"/>
        <w:rPr>
          <w:rFonts w:hint="eastAsia" w:hAnsi="Times New Roman" w:cs="Times New Roman"/>
        </w:rPr>
      </w:pPr>
      <w:r>
        <w:rPr>
          <w:rFonts w:hint="eastAsia" w:hAnsi="Times New Roman" w:cs="Times New Roman"/>
        </w:rPr>
        <w:t>--第6部分：</w:t>
      </w:r>
      <w:r>
        <w:rPr>
          <w:rFonts w:hint="eastAsia" w:hAnsi="Times New Roman" w:cs="Times New Roman"/>
          <w:lang w:val="en-US" w:eastAsia="zh-CN"/>
        </w:rPr>
        <w:t>健康随访中心</w:t>
      </w:r>
      <w:r>
        <w:rPr>
          <w:rFonts w:hint="eastAsia" w:hAnsi="Times New Roman" w:cs="Times New Roman"/>
        </w:rPr>
        <w:t>；</w:t>
      </w:r>
    </w:p>
    <w:p>
      <w:pPr>
        <w:pStyle w:val="56"/>
        <w:ind w:firstLine="420"/>
        <w:rPr>
          <w:rFonts w:hint="eastAsia" w:hAnsi="Times New Roman" w:cs="Times New Roman"/>
        </w:rPr>
      </w:pPr>
      <w:r>
        <w:rPr>
          <w:rFonts w:hint="eastAsia" w:hAnsi="Times New Roman" w:cs="Times New Roman"/>
        </w:rPr>
        <w:t>--第7部分：</w:t>
      </w:r>
      <w:r>
        <w:rPr>
          <w:rFonts w:hint="eastAsia" w:hAnsi="Times New Roman" w:cs="Times New Roman"/>
          <w:lang w:val="en-US" w:eastAsia="zh-CN"/>
        </w:rPr>
        <w:t>临床检验中心</w:t>
      </w:r>
      <w:r>
        <w:rPr>
          <w:rFonts w:hint="eastAsia" w:hAnsi="Times New Roman" w:cs="Times New Roman"/>
        </w:rPr>
        <w:t>；</w:t>
      </w:r>
    </w:p>
    <w:p>
      <w:pPr>
        <w:pStyle w:val="56"/>
        <w:ind w:firstLine="420"/>
        <w:rPr>
          <w:rFonts w:hint="eastAsia" w:hAnsi="Times New Roman" w:cs="Times New Roman"/>
        </w:rPr>
      </w:pPr>
      <w:r>
        <w:rPr>
          <w:rFonts w:hint="eastAsia" w:hAnsi="Times New Roman" w:cs="Times New Roman"/>
        </w:rPr>
        <w:t>--第8部分：</w:t>
      </w:r>
      <w:r>
        <w:rPr>
          <w:rFonts w:hint="eastAsia" w:hAnsi="Times New Roman" w:cs="Times New Roman"/>
          <w:lang w:val="en-US" w:eastAsia="zh-CN"/>
        </w:rPr>
        <w:t>消毒供应中心</w:t>
      </w:r>
      <w:r>
        <w:rPr>
          <w:rFonts w:hint="eastAsia" w:hAnsi="Times New Roman" w:cs="Times New Roman"/>
        </w:rPr>
        <w:t>；</w:t>
      </w:r>
    </w:p>
    <w:p>
      <w:pPr>
        <w:pStyle w:val="56"/>
        <w:ind w:firstLine="420"/>
        <w:rPr>
          <w:rFonts w:hint="eastAsia"/>
        </w:rPr>
      </w:pPr>
      <w:r>
        <w:rPr>
          <w:rFonts w:hint="eastAsia" w:hAnsi="Times New Roman" w:cs="Times New Roman"/>
        </w:rPr>
        <w:t>--第9部分：</w:t>
      </w:r>
      <w:r>
        <w:rPr>
          <w:rFonts w:hint="eastAsia" w:hAnsi="Times New Roman" w:cs="Times New Roman"/>
          <w:lang w:val="en-US" w:eastAsia="zh-CN"/>
        </w:rPr>
        <w:t>互联网医院中心</w:t>
      </w:r>
      <w:r>
        <w:rPr>
          <w:rFonts w:hint="eastAsia"/>
        </w:rPr>
        <w:t>。</w:t>
      </w:r>
    </w:p>
    <w:p>
      <w:pPr>
        <w:pStyle w:val="56"/>
        <w:ind w:firstLine="420"/>
        <w:rPr>
          <w:rFonts w:hint="eastAsia"/>
        </w:rPr>
      </w:pPr>
      <w:r>
        <w:rPr>
          <w:rFonts w:hint="eastAsia"/>
        </w:rPr>
        <w:t>DB32/T XXX的制定是</w:t>
      </w:r>
      <w:r>
        <w:rPr>
          <w:rFonts w:hint="eastAsia" w:hAnsi="Times New Roman" w:cs="Times New Roman"/>
          <w:lang w:val="en-US" w:eastAsia="zh-CN"/>
        </w:rPr>
        <w:t>通过建设县级（区域）</w:t>
      </w:r>
      <w:r>
        <w:rPr>
          <w:rFonts w:hint="eastAsia" w:cs="Times New Roman"/>
          <w:lang w:val="en-US" w:eastAsia="zh-CN"/>
        </w:rPr>
        <w:t>医疗资源集中化运行</w:t>
      </w:r>
      <w:r>
        <w:rPr>
          <w:rFonts w:hint="eastAsia" w:hAnsi="Times New Roman" w:cs="Times New Roman"/>
          <w:lang w:val="en-US" w:eastAsia="zh-CN"/>
        </w:rPr>
        <w:t>建设，</w:t>
      </w:r>
      <w:r>
        <w:rPr>
          <w:rFonts w:hint="eastAsia" w:hAnsi="Times New Roman" w:cs="Times New Roman"/>
        </w:rPr>
        <w:t>依托于</w:t>
      </w:r>
      <w:r>
        <w:rPr>
          <w:rFonts w:hint="eastAsia" w:hAnsi="Times New Roman" w:cs="Times New Roman"/>
          <w:lang w:eastAsia="zh-CN"/>
        </w:rPr>
        <w:t>“</w:t>
      </w:r>
      <w:r>
        <w:rPr>
          <w:rFonts w:hint="eastAsia" w:hAnsi="Times New Roman" w:cs="Times New Roman"/>
        </w:rPr>
        <w:t>互联网+</w:t>
      </w:r>
      <w:r>
        <w:rPr>
          <w:rFonts w:hint="eastAsia" w:hAnsi="Times New Roman" w:cs="Times New Roman"/>
          <w:lang w:eastAsia="zh-CN"/>
        </w:rPr>
        <w:t>”</w:t>
      </w:r>
      <w:r>
        <w:rPr>
          <w:rFonts w:hint="eastAsia" w:hAnsi="Times New Roman" w:cs="Times New Roman"/>
        </w:rPr>
        <w:t>和智能化技术的信息系统，能够打破信息壁垒，提升</w:t>
      </w:r>
      <w:r>
        <w:rPr>
          <w:rFonts w:hint="eastAsia" w:hAnsi="Times New Roman" w:cs="Times New Roman"/>
          <w:lang w:val="en-US" w:eastAsia="zh-CN"/>
        </w:rPr>
        <w:t>县级（区域）</w:t>
      </w:r>
      <w:r>
        <w:rPr>
          <w:rFonts w:hint="eastAsia" w:hAnsi="Times New Roman" w:cs="Times New Roman"/>
        </w:rPr>
        <w:t>医疗服务的协同性和一体化水平，</w:t>
      </w:r>
      <w:r>
        <w:rPr>
          <w:rFonts w:hint="eastAsia" w:hAnsi="Times New Roman" w:cs="Times New Roman"/>
          <w:lang w:val="en-US" w:eastAsia="zh-CN"/>
        </w:rPr>
        <w:t>以更好</w:t>
      </w:r>
      <w:r>
        <w:rPr>
          <w:rFonts w:hint="eastAsia" w:hAnsi="Times New Roman" w:cs="Times New Roman"/>
        </w:rPr>
        <w:t>优化资源配置、改善患者就医体验</w:t>
      </w:r>
      <w:r>
        <w:rPr>
          <w:rFonts w:hint="eastAsia" w:hAnsi="Times New Roman" w:cs="Times New Roman"/>
          <w:lang w:eastAsia="zh-CN"/>
        </w:rPr>
        <w:t>。</w:t>
      </w:r>
    </w:p>
    <w:p>
      <w:pPr>
        <w:pStyle w:val="56"/>
        <w:ind w:firstLine="420"/>
        <w:rPr>
          <w:rFonts w:hint="eastAsia"/>
          <w:lang w:eastAsia="zh-CN"/>
        </w:rPr>
        <w:sectPr>
          <w:pgSz w:w="11906" w:h="16838"/>
          <w:pgMar w:top="1928" w:right="1134" w:bottom="1134" w:left="1134" w:header="1418" w:footer="1134" w:gutter="284"/>
          <w:pgNumType w:fmt="upperRoman"/>
          <w:cols w:space="425" w:num="1"/>
          <w:formProt w:val="0"/>
          <w:docGrid w:type="lines" w:linePitch="312" w:charSpace="0"/>
        </w:sectPr>
      </w:pPr>
    </w:p>
    <w:bookmarkEnd w:id="24"/>
    <w:p>
      <w:pPr>
        <w:spacing w:line="20" w:lineRule="exact"/>
        <w:jc w:val="center"/>
        <w:rPr>
          <w:rFonts w:ascii="黑体" w:hAnsi="黑体" w:eastAsia="黑体"/>
          <w:sz w:val="32"/>
          <w:szCs w:val="32"/>
        </w:rPr>
      </w:pPr>
      <w:bookmarkStart w:id="26" w:name="BookMark4"/>
    </w:p>
    <w:p>
      <w:pPr>
        <w:spacing w:line="20" w:lineRule="exact"/>
        <w:jc w:val="center"/>
        <w:rPr>
          <w:rFonts w:ascii="黑体" w:hAnsi="黑体" w:eastAsia="黑体"/>
          <w:sz w:val="32"/>
          <w:szCs w:val="32"/>
        </w:rPr>
      </w:pPr>
    </w:p>
    <w:sdt>
      <w:sdtPr>
        <w:tag w:val="NEW_STAND_NAME"/>
        <w:id w:val="595910757"/>
        <w:lock w:val="sdtLocked"/>
        <w:placeholder>
          <w:docPart w:val="22E55BD611CC428688A39D562D77C5A1"/>
        </w:placeholder>
      </w:sdtPr>
      <w:sdtContent>
        <w:p>
          <w:pPr>
            <w:pStyle w:val="177"/>
            <w:keepNext w:val="0"/>
            <w:keepLines w:val="0"/>
            <w:pageBreakBefore w:val="0"/>
            <w:widowControl/>
            <w:kinsoku/>
            <w:wordWrap/>
            <w:overflowPunct/>
            <w:topLinePunct w:val="0"/>
            <w:autoSpaceDE/>
            <w:autoSpaceDN/>
            <w:bidi w:val="0"/>
            <w:adjustRightInd/>
            <w:snapToGrid/>
            <w:spacing w:before="3" w:beforeLines="1" w:after="0"/>
            <w:textAlignment w:val="auto"/>
            <w:rPr>
              <w:rFonts w:hint="eastAsia"/>
            </w:rPr>
          </w:pPr>
          <w:bookmarkStart w:id="27" w:name="NEW_STAND_NAME"/>
          <w:r>
            <w:rPr>
              <w:rFonts w:hint="eastAsia"/>
            </w:rPr>
            <w:t>县级（区域）</w:t>
          </w:r>
          <w:r>
            <w:rPr>
              <w:rFonts w:hint="eastAsia"/>
              <w:lang w:eastAsia="zh-CN"/>
            </w:rPr>
            <w:t>医疗资源集中化运行</w:t>
          </w:r>
          <w:r>
            <w:rPr>
              <w:rFonts w:hint="eastAsia"/>
            </w:rPr>
            <w:t>建设规范</w:t>
          </w:r>
        </w:p>
        <w:p>
          <w:pPr>
            <w:pStyle w:val="177"/>
            <w:keepNext w:val="0"/>
            <w:keepLines w:val="0"/>
            <w:pageBreakBefore w:val="0"/>
            <w:widowControl/>
            <w:kinsoku/>
            <w:wordWrap/>
            <w:overflowPunct/>
            <w:topLinePunct w:val="0"/>
            <w:autoSpaceDE/>
            <w:autoSpaceDN/>
            <w:bidi w:val="0"/>
            <w:adjustRightInd/>
            <w:snapToGrid/>
            <w:spacing w:before="3" w:beforeLines="1" w:after="0"/>
            <w:textAlignment w:val="auto"/>
          </w:pPr>
          <w:r>
            <w:rPr>
              <w:rFonts w:hint="eastAsia"/>
            </w:rPr>
            <w:t>第4部分：远程会诊中心</w:t>
          </w:r>
        </w:p>
      </w:sdtContent>
    </w:sdt>
    <w:bookmarkEnd w:id="27"/>
    <w:p>
      <w:pPr>
        <w:pStyle w:val="104"/>
        <w:spacing w:before="312" w:after="312"/>
        <w:ind w:left="0" w:leftChars="0" w:firstLine="0" w:firstLineChars="0"/>
      </w:pPr>
      <w:bookmarkStart w:id="28" w:name="_Toc26648465"/>
      <w:bookmarkStart w:id="29" w:name="_Toc26986771"/>
      <w:bookmarkStart w:id="30" w:name="_Toc17233325"/>
      <w:bookmarkStart w:id="31" w:name="_Toc167178904"/>
      <w:bookmarkStart w:id="32" w:name="_Toc17233333"/>
      <w:bookmarkStart w:id="33" w:name="_Toc8555"/>
      <w:bookmarkStart w:id="34" w:name="_Toc26986530"/>
      <w:bookmarkStart w:id="35" w:name="_Toc24884211"/>
      <w:bookmarkStart w:id="36" w:name="_Toc26718930"/>
      <w:bookmarkStart w:id="37" w:name="_Toc97191423"/>
      <w:bookmarkStart w:id="38" w:name="_Toc24884218"/>
      <w:bookmarkStart w:id="39" w:name="_Toc167177390"/>
      <w:r>
        <w:rPr>
          <w:rFonts w:hint="eastAsia"/>
        </w:rPr>
        <w:t>范围</w:t>
      </w:r>
      <w:bookmarkEnd w:id="28"/>
      <w:bookmarkEnd w:id="29"/>
      <w:bookmarkEnd w:id="30"/>
      <w:bookmarkEnd w:id="31"/>
      <w:bookmarkEnd w:id="32"/>
      <w:bookmarkEnd w:id="33"/>
      <w:bookmarkEnd w:id="34"/>
      <w:bookmarkEnd w:id="35"/>
      <w:bookmarkEnd w:id="36"/>
      <w:bookmarkEnd w:id="37"/>
      <w:bookmarkEnd w:id="38"/>
      <w:bookmarkEnd w:id="39"/>
    </w:p>
    <w:p>
      <w:pPr>
        <w:pStyle w:val="223"/>
        <w:ind w:left="420" w:hanging="420" w:hangingChars="200"/>
        <w:rPr>
          <w:rFonts w:hint="eastAsia" w:ascii="黑体" w:hAnsi="黑体" w:eastAsia="黑体"/>
        </w:rPr>
      </w:pPr>
      <w:r>
        <w:rPr>
          <w:rFonts w:hint="eastAsia" w:ascii="黑体" w:hAnsi="黑体" w:eastAsia="黑体"/>
        </w:rPr>
        <w:t>目的</w:t>
      </w:r>
    </w:p>
    <w:p>
      <w:pPr>
        <w:pStyle w:val="223"/>
        <w:ind w:left="420" w:hanging="420" w:hangingChars="200"/>
        <w:rPr>
          <w:rFonts w:hint="eastAsia" w:ascii="黑体" w:hAnsi="黑体" w:eastAsia="黑体"/>
        </w:rPr>
      </w:pPr>
      <w:r>
        <w:rPr>
          <w:rFonts w:hint="eastAsia"/>
        </w:rPr>
        <w:t>本标准旨在规范远程会诊中心的建设和管理，提高医疗服务质量，方便患者就医，促进医疗资源的合理配置，缓解基层医疗机构医疗资源不足的问题。</w:t>
      </w:r>
    </w:p>
    <w:p>
      <w:pPr>
        <w:pStyle w:val="56"/>
        <w:rPr>
          <w:rFonts w:hint="eastAsia"/>
        </w:rPr>
      </w:pPr>
    </w:p>
    <w:p>
      <w:pPr>
        <w:pStyle w:val="223"/>
        <w:ind w:left="420" w:hanging="420" w:hangingChars="200"/>
        <w:rPr>
          <w:rFonts w:ascii="黑体" w:hAnsi="黑体" w:eastAsia="黑体"/>
        </w:rPr>
      </w:pPr>
      <w:r>
        <w:rPr>
          <w:rFonts w:hint="eastAsia"/>
        </w:rPr>
        <w:t>适用范围</w:t>
      </w:r>
    </w:p>
    <w:p>
      <w:pPr>
        <w:pStyle w:val="56"/>
        <w:ind w:firstLine="420"/>
        <w:rPr>
          <w:rFonts w:hint="eastAsia"/>
        </w:rPr>
      </w:pPr>
      <w:r>
        <w:rPr>
          <w:rFonts w:hint="eastAsia"/>
        </w:rPr>
        <w:t>本标准适用于各级医疗机构建立的远程会诊中心，包括但不限于委属委管医院、省属医院</w:t>
      </w:r>
      <w:r>
        <w:rPr>
          <w:rFonts w:hint="eastAsia"/>
          <w:lang w:eastAsia="zh-CN"/>
        </w:rPr>
        <w:t>、</w:t>
      </w:r>
      <w:r>
        <w:rPr>
          <w:rFonts w:hint="eastAsia"/>
        </w:rPr>
        <w:t>市级医院、县级医院、乡镇卫生院、社区卫生服务中心等。</w:t>
      </w:r>
      <w:bookmarkStart w:id="40" w:name="_Toc24884219"/>
      <w:bookmarkStart w:id="41" w:name="_Toc17233334"/>
      <w:bookmarkStart w:id="42" w:name="_Toc17233326"/>
      <w:bookmarkStart w:id="43" w:name="_Toc24884212"/>
      <w:bookmarkStart w:id="44" w:name="_Toc26648466"/>
    </w:p>
    <w:p>
      <w:pPr>
        <w:pStyle w:val="104"/>
        <w:spacing w:before="312" w:after="312"/>
        <w:ind w:left="0" w:leftChars="0" w:firstLine="0" w:firstLineChars="0"/>
        <w:jc w:val="left"/>
      </w:pPr>
      <w:bookmarkStart w:id="45" w:name="_Toc9314"/>
      <w:bookmarkStart w:id="46" w:name="_Toc167178905"/>
      <w:bookmarkStart w:id="47" w:name="_Toc97191424"/>
      <w:bookmarkStart w:id="48" w:name="_Toc26718931"/>
      <w:bookmarkStart w:id="49" w:name="_Toc26986531"/>
      <w:bookmarkStart w:id="50" w:name="_Toc26986772"/>
      <w:bookmarkStart w:id="51" w:name="_Toc167177391"/>
      <w:r>
        <w:rPr>
          <w:rFonts w:hint="eastAsia"/>
        </w:rPr>
        <w:t>规范性引用文件</w:t>
      </w:r>
      <w:bookmarkEnd w:id="40"/>
      <w:bookmarkEnd w:id="41"/>
      <w:bookmarkEnd w:id="42"/>
      <w:bookmarkEnd w:id="43"/>
      <w:bookmarkEnd w:id="44"/>
      <w:bookmarkEnd w:id="45"/>
      <w:bookmarkEnd w:id="46"/>
      <w:bookmarkEnd w:id="47"/>
      <w:bookmarkEnd w:id="48"/>
      <w:bookmarkEnd w:id="49"/>
      <w:bookmarkEnd w:id="50"/>
      <w:bookmarkEnd w:id="51"/>
    </w:p>
    <w:p>
      <w:pPr>
        <w:pStyle w:val="56"/>
        <w:ind w:firstLine="420"/>
      </w:pPr>
      <w:sdt>
        <w:sdtPr>
          <w:rPr>
            <w:rFonts w:hint="eastAsia"/>
          </w:rPr>
          <w:id w:val="715848253"/>
          <w:placeholder>
            <w:docPart w:val="A8A32B330BD54600B211AD843B34498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sdtContent>
      </w:sdt>
      <w:r>
        <w:rPr>
          <w:rFonts w:hint="eastAsia"/>
        </w:rPr>
        <w:t xml:space="preserve">  </w:t>
      </w:r>
    </w:p>
    <w:p>
      <w:pPr>
        <w:pStyle w:val="230"/>
        <w:numPr>
          <w:ilvl w:val="0"/>
          <w:numId w:val="32"/>
        </w:numPr>
        <w:ind w:firstLineChars="0"/>
      </w:pPr>
      <w:r>
        <w:rPr>
          <w:rFonts w:hint="eastAsia"/>
        </w:rPr>
        <w:t xml:space="preserve">GB/T 1.1-2020 标准化工作导则 第1部分：标准化文件的结构和起草规则  </w:t>
      </w:r>
    </w:p>
    <w:p>
      <w:pPr>
        <w:pStyle w:val="230"/>
        <w:numPr>
          <w:ilvl w:val="0"/>
          <w:numId w:val="32"/>
        </w:numPr>
        <w:ind w:firstLineChars="0"/>
      </w:pPr>
      <w:r>
        <w:rPr>
          <w:rFonts w:hint="eastAsia"/>
        </w:rPr>
        <w:t>DB34/T 2800 《地方标准制修订工作指南》</w:t>
      </w:r>
    </w:p>
    <w:p>
      <w:pPr>
        <w:pStyle w:val="104"/>
        <w:spacing w:before="312" w:after="312"/>
        <w:ind w:left="0" w:leftChars="0" w:firstLine="0" w:firstLineChars="0"/>
      </w:pPr>
      <w:bookmarkStart w:id="52" w:name="_Toc97191425"/>
      <w:bookmarkStart w:id="53" w:name="_Toc167177392"/>
      <w:bookmarkStart w:id="54" w:name="_Toc5447"/>
      <w:bookmarkStart w:id="55" w:name="_Toc167178906"/>
      <w:r>
        <w:rPr>
          <w:rFonts w:hint="eastAsia"/>
          <w:szCs w:val="21"/>
        </w:rPr>
        <w:t>术语和定义</w:t>
      </w:r>
      <w:bookmarkEnd w:id="52"/>
      <w:bookmarkEnd w:id="53"/>
      <w:bookmarkEnd w:id="54"/>
      <w:bookmarkEnd w:id="55"/>
    </w:p>
    <w:sdt>
      <w:sdtPr>
        <w:rPr>
          <w:rFonts w:hint="eastAsia"/>
        </w:rPr>
        <w:id w:val="-1909835108"/>
        <w:placeholder>
          <w:docPart w:val="5C98D0595D404AE886FEBC8F049B400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rPr>
      </w:sdtEndPr>
      <w:sdtContent>
        <w:p>
          <w:pPr>
            <w:pStyle w:val="56"/>
            <w:ind w:firstLine="420"/>
          </w:pPr>
          <w:bookmarkStart w:id="56" w:name="_Toc26986532"/>
          <w:bookmarkEnd w:id="56"/>
          <w:r>
            <w:rPr>
              <w:rFonts w:hint="eastAsia"/>
            </w:rPr>
            <w:t>下列术语和定义适用于本文件。</w:t>
          </w:r>
        </w:p>
      </w:sdtContent>
    </w:sdt>
    <w:p>
      <w:pPr>
        <w:pStyle w:val="223"/>
      </w:pPr>
      <w:r>
        <w:rPr>
          <w:rFonts w:hint="eastAsia" w:ascii="黑体" w:hAnsi="黑体" w:eastAsia="黑体"/>
        </w:rPr>
        <w:t>会诊</w:t>
      </w:r>
    </w:p>
    <w:p>
      <w:pPr>
        <w:pStyle w:val="223"/>
        <w:numPr>
          <w:ilvl w:val="0"/>
          <w:numId w:val="0"/>
        </w:numPr>
        <w:rPr>
          <w:rFonts w:hint="eastAsia" w:ascii="黑体" w:hAnsi="黑体" w:eastAsia="黑体"/>
          <w:lang w:eastAsia="zh-CN"/>
        </w:rPr>
      </w:pPr>
    </w:p>
    <w:p>
      <w:pPr>
        <w:pStyle w:val="223"/>
        <w:numPr>
          <w:ilvl w:val="0"/>
          <w:numId w:val="0"/>
        </w:numPr>
      </w:pPr>
      <w:r>
        <w:rPr>
          <w:rFonts w:hint="eastAsia" w:ascii="黑体" w:hAnsi="黑体" w:eastAsia="黑体"/>
        </w:rPr>
        <w:t xml:space="preserve">  </w:t>
      </w:r>
      <w:r>
        <w:rPr>
          <w:rFonts w:hint="eastAsia"/>
        </w:rPr>
        <w:t>会诊是指处于诊疗需要，由本科室以外或本机构以外的医务人员协助提出诊疗意见或提供诊疗服务的活动。</w:t>
      </w:r>
    </w:p>
    <w:p>
      <w:pPr>
        <w:pStyle w:val="56"/>
        <w:ind w:firstLine="420"/>
        <w:rPr>
          <w:rFonts w:hint="eastAsia"/>
        </w:rPr>
      </w:pPr>
    </w:p>
    <w:p>
      <w:pPr>
        <w:pStyle w:val="223"/>
        <w:ind w:left="420" w:hanging="420" w:hangingChars="200"/>
      </w:pPr>
      <w:r>
        <w:rPr>
          <w:rFonts w:hint="eastAsia"/>
          <w:lang w:val="en-US" w:eastAsia="zh-CN"/>
        </w:rPr>
        <w:t>远程会诊中心</w:t>
      </w:r>
    </w:p>
    <w:p>
      <w:pPr>
        <w:pStyle w:val="56"/>
        <w:rPr>
          <w:rFonts w:hint="eastAsia"/>
          <w:lang w:val="en-US" w:eastAsia="zh-CN"/>
        </w:rPr>
      </w:pPr>
    </w:p>
    <w:p>
      <w:pPr>
        <w:pStyle w:val="56"/>
        <w:rPr>
          <w:rFonts w:hint="eastAsia"/>
          <w:lang w:val="en-US" w:eastAsia="zh-CN"/>
        </w:rPr>
      </w:pPr>
      <w:r>
        <w:rPr>
          <w:rFonts w:hint="eastAsia"/>
          <w:lang w:val="en-US" w:eastAsia="zh-CN"/>
        </w:rPr>
        <w:t>远程会诊中心是指利用远程通信技术和医疗设备，为患者提供医学诊断、治疗建议和专家意见的地点。这些中心通常由专业医疗团队管理，包括医生、护士和技术人员。远程会诊中心的目标是通过远程技术解决医疗服务的地理和时间限制，让患者能够获取到全球范围内的医疗专家的意见和建议。</w:t>
      </w:r>
    </w:p>
    <w:p>
      <w:pPr>
        <w:pStyle w:val="56"/>
        <w:ind w:left="0" w:leftChars="0" w:firstLine="0" w:firstLineChars="0"/>
        <w:rPr>
          <w:rFonts w:hint="eastAsia"/>
          <w:lang w:val="en-US" w:eastAsia="zh-CN"/>
        </w:rPr>
      </w:pPr>
    </w:p>
    <w:p>
      <w:pPr>
        <w:pStyle w:val="223"/>
        <w:ind w:left="420" w:hanging="420" w:hangingChars="200"/>
      </w:pPr>
      <w:r>
        <w:rPr>
          <w:rFonts w:hint="eastAsia"/>
        </w:rPr>
        <w:t xml:space="preserve">会诊内容 </w:t>
      </w:r>
    </w:p>
    <w:p>
      <w:pPr>
        <w:pStyle w:val="56"/>
        <w:ind w:firstLine="420"/>
        <w:rPr>
          <w:rFonts w:hint="eastAsia"/>
        </w:rPr>
      </w:pPr>
    </w:p>
    <w:p>
      <w:pPr>
        <w:pStyle w:val="56"/>
        <w:ind w:firstLine="420"/>
      </w:pPr>
      <w:r>
        <w:rPr>
          <w:rFonts w:hint="eastAsia"/>
        </w:rPr>
        <w:t>包括病理诊断、医学影像学诊断、心电诊断、中医辨证诊治、精神卫生、超声诊断、内镜诊断等远程诊断，及治疗方案、手术方案等治疗建议、疾病预后等相关内容。</w:t>
      </w:r>
    </w:p>
    <w:p>
      <w:pPr>
        <w:pStyle w:val="56"/>
        <w:ind w:firstLine="420"/>
      </w:pPr>
    </w:p>
    <w:p>
      <w:pPr>
        <w:pStyle w:val="223"/>
        <w:ind w:left="420" w:hanging="420" w:hangingChars="200"/>
        <w:rPr>
          <w:rFonts w:ascii="黑体" w:hAnsi="黑体" w:eastAsia="黑体"/>
        </w:rPr>
      </w:pPr>
      <w:r>
        <w:rPr>
          <w:rFonts w:hint="eastAsia" w:ascii="黑体" w:hAnsi="黑体" w:eastAsia="黑体"/>
        </w:rPr>
        <w:t>会诊</w:t>
      </w:r>
      <w:r>
        <w:rPr>
          <w:rFonts w:hint="eastAsia" w:ascii="黑体" w:hAnsi="黑体" w:eastAsia="黑体"/>
          <w:lang w:val="en-US" w:eastAsia="zh-CN"/>
        </w:rPr>
        <w:t>分类</w:t>
      </w:r>
    </w:p>
    <w:p>
      <w:pPr>
        <w:pStyle w:val="56"/>
        <w:ind w:firstLine="420"/>
        <w:rPr>
          <w:rFonts w:hint="eastAsia"/>
        </w:rPr>
      </w:pPr>
    </w:p>
    <w:p>
      <w:pPr>
        <w:pStyle w:val="224"/>
        <w:ind w:left="420" w:hanging="420" w:hangingChars="200"/>
        <w:rPr>
          <w:rFonts w:ascii="黑体" w:hAnsi="黑体" w:eastAsia="黑体"/>
        </w:rPr>
      </w:pPr>
      <w:r>
        <w:rPr>
          <w:rFonts w:hint="eastAsia"/>
        </w:rPr>
        <w:t>会诊形式</w:t>
      </w:r>
    </w:p>
    <w:p>
      <w:pPr>
        <w:pStyle w:val="56"/>
      </w:pPr>
    </w:p>
    <w:p>
      <w:pPr>
        <w:pStyle w:val="56"/>
        <w:ind w:firstLine="420"/>
      </w:pPr>
      <w:r>
        <w:rPr>
          <w:rFonts w:hint="eastAsia"/>
        </w:rPr>
        <w:t>（1）普通会诊：即受邀方收到会诊申请2小时内，由邀请方和受邀方共同确定会诊专家和会诊时间，24小时内完成会诊服务。</w:t>
      </w:r>
    </w:p>
    <w:p>
      <w:pPr>
        <w:pStyle w:val="56"/>
        <w:ind w:firstLine="420"/>
        <w:rPr>
          <w:rFonts w:hint="eastAsia"/>
        </w:rPr>
      </w:pPr>
      <w:r>
        <w:rPr>
          <w:rFonts w:hint="eastAsia"/>
        </w:rPr>
        <w:t>（2）急会诊：即受邀方收到会诊申请半小时内，完成专家确定和预约，并在</w:t>
      </w:r>
      <w:r>
        <w:rPr>
          <w:rFonts w:hint="eastAsia"/>
          <w:lang w:val="en-US" w:eastAsia="zh-CN"/>
        </w:rPr>
        <w:t>2</w:t>
      </w:r>
      <w:r>
        <w:rPr>
          <w:rFonts w:hint="eastAsia"/>
        </w:rPr>
        <w:t>小时内完成会诊服务，根据临床需要另外约定除外。（时间是根据核心制度要求）</w:t>
      </w:r>
    </w:p>
    <w:p>
      <w:pPr>
        <w:pStyle w:val="56"/>
        <w:ind w:firstLine="420"/>
        <w:rPr>
          <w:rFonts w:hint="eastAsia"/>
        </w:rPr>
      </w:pPr>
    </w:p>
    <w:p>
      <w:pPr>
        <w:pStyle w:val="224"/>
        <w:ind w:left="420" w:hanging="420" w:hangingChars="200"/>
      </w:pPr>
      <w:r>
        <w:rPr>
          <w:rFonts w:hint="eastAsia"/>
        </w:rPr>
        <w:t>会诊人员资质的确定</w:t>
      </w:r>
    </w:p>
    <w:p>
      <w:pPr>
        <w:pStyle w:val="56"/>
      </w:pPr>
    </w:p>
    <w:p>
      <w:pPr>
        <w:pStyle w:val="224"/>
        <w:numPr>
          <w:ilvl w:val="3"/>
          <w:numId w:val="0"/>
        </w:numPr>
        <w:ind w:firstLine="420" w:firstLineChars="200"/>
      </w:pPr>
      <w:r>
        <w:rPr>
          <w:rFonts w:hint="eastAsia"/>
        </w:rPr>
        <w:t>（1）远程会诊医师应取得执业医师资格并注册，其会诊、咨询内容与本人执业范围、专业技术相一致</w:t>
      </w:r>
      <w:r>
        <w:rPr>
          <w:rFonts w:hint="eastAsia"/>
          <w:lang w:eastAsia="zh-CN"/>
        </w:rPr>
        <w:t>，</w:t>
      </w:r>
      <w:r>
        <w:rPr>
          <w:rFonts w:hint="eastAsia" w:ascii="宋体" w:hAnsi="宋体" w:eastAsia="宋体" w:cs="宋体"/>
          <w:sz w:val="21"/>
          <w:szCs w:val="21"/>
          <w:lang w:val="en-US" w:eastAsia="zh-CN"/>
        </w:rPr>
        <w:t>至少</w:t>
      </w:r>
      <w:r>
        <w:rPr>
          <w:rFonts w:hint="eastAsia" w:ascii="宋体" w:hAnsi="宋体" w:eastAsia="宋体" w:cs="宋体"/>
          <w:sz w:val="21"/>
          <w:szCs w:val="21"/>
        </w:rPr>
        <w:t>独立开展临床工作3年以上</w:t>
      </w:r>
      <w:r>
        <w:rPr>
          <w:rFonts w:hint="eastAsia" w:hAnsi="宋体" w:cs="宋体"/>
          <w:sz w:val="21"/>
          <w:szCs w:val="21"/>
          <w:lang w:eastAsia="zh-CN"/>
        </w:rPr>
        <w:t>。</w:t>
      </w:r>
    </w:p>
    <w:p>
      <w:pPr>
        <w:pStyle w:val="56"/>
        <w:ind w:firstLine="420"/>
      </w:pPr>
      <w:r>
        <w:rPr>
          <w:rFonts w:hint="eastAsia"/>
        </w:rPr>
        <w:t>（2）普通会诊：邀请方联系受邀方</w:t>
      </w:r>
      <w:r>
        <w:rPr>
          <w:rFonts w:hint="eastAsia"/>
          <w:lang w:eastAsia="zh-CN"/>
        </w:rPr>
        <w:t>医务管理部门</w:t>
      </w:r>
      <w:r>
        <w:rPr>
          <w:rFonts w:hint="eastAsia"/>
        </w:rPr>
        <w:t>，</w:t>
      </w:r>
      <w:r>
        <w:rPr>
          <w:rFonts w:hint="eastAsia"/>
          <w:lang w:eastAsia="zh-CN"/>
        </w:rPr>
        <w:t>医务管理部门</w:t>
      </w:r>
      <w:r>
        <w:rPr>
          <w:rFonts w:hint="eastAsia"/>
        </w:rPr>
        <w:t>联系科室主任派出副高（含）以上人员进行远程会诊。如果邀请方有指定会诊医生要求，受邀方联系指定医生，如条件不允许，则做好和邀请方的解释工作。</w:t>
      </w:r>
    </w:p>
    <w:p>
      <w:pPr>
        <w:pStyle w:val="56"/>
        <w:ind w:firstLine="420"/>
      </w:pPr>
      <w:r>
        <w:rPr>
          <w:rFonts w:hint="eastAsia"/>
        </w:rPr>
        <w:t>（3）急会诊：邀请方联系受邀方</w:t>
      </w:r>
      <w:r>
        <w:rPr>
          <w:rFonts w:hint="eastAsia"/>
          <w:lang w:eastAsia="zh-CN"/>
        </w:rPr>
        <w:t>医务管理部门</w:t>
      </w:r>
      <w:r>
        <w:rPr>
          <w:rFonts w:hint="eastAsia"/>
        </w:rPr>
        <w:t>，</w:t>
      </w:r>
      <w:r>
        <w:rPr>
          <w:rFonts w:hint="eastAsia"/>
          <w:lang w:eastAsia="zh-CN"/>
        </w:rPr>
        <w:t>医务管理部门</w:t>
      </w:r>
      <w:r>
        <w:rPr>
          <w:rFonts w:hint="eastAsia"/>
        </w:rPr>
        <w:t>联系科主任派出副主任医师（含）以上人员进行会诊。如果邀请方有指定会诊医生要求，受邀方联系指定医生，如条件不允许，则做好和邀请方的解释工作。</w:t>
      </w:r>
    </w:p>
    <w:p>
      <w:pPr>
        <w:pStyle w:val="104"/>
        <w:spacing w:before="312" w:after="312"/>
        <w:ind w:left="0" w:leftChars="0" w:firstLine="0" w:firstLineChars="0"/>
      </w:pPr>
      <w:bookmarkStart w:id="57" w:name="_Toc2606"/>
      <w:r>
        <w:rPr>
          <w:rFonts w:hint="eastAsia"/>
        </w:rPr>
        <w:t>基本要求</w:t>
      </w:r>
      <w:bookmarkEnd w:id="57"/>
    </w:p>
    <w:p>
      <w:pPr>
        <w:pStyle w:val="162"/>
      </w:pPr>
      <w:r>
        <w:rPr>
          <w:rFonts w:hint="eastAsia"/>
        </w:rPr>
        <w:t>参加远程医疗会诊医师必须是取得执业证书，并在本院办理医师注册、变更或多机构备案的临床、医技科室的学科带头人或业务骨干，具有副主任医师以上任职资格者（或科室主任）。</w:t>
      </w:r>
    </w:p>
    <w:p>
      <w:pPr>
        <w:pStyle w:val="162"/>
        <w:numPr>
          <w:ilvl w:val="0"/>
          <w:numId w:val="0"/>
        </w:numPr>
        <w:rPr>
          <w:rFonts w:hint="eastAsia"/>
        </w:rPr>
      </w:pPr>
    </w:p>
    <w:p>
      <w:pPr>
        <w:pStyle w:val="162"/>
      </w:pPr>
      <w:r>
        <w:rPr>
          <w:rFonts w:hint="eastAsia" w:ascii="宋体" w:hAnsi="宋体" w:eastAsia="宋体" w:cs="宋体"/>
        </w:rPr>
        <w:t>远程医疗由</w:t>
      </w:r>
      <w:r>
        <w:rPr>
          <w:rFonts w:hint="eastAsia" w:hAnsi="宋体" w:cs="宋体"/>
          <w:lang w:eastAsia="zh-CN"/>
        </w:rPr>
        <w:t>医务管理部门</w:t>
      </w:r>
      <w:r>
        <w:rPr>
          <w:rFonts w:hint="eastAsia" w:ascii="宋体" w:hAnsi="宋体" w:eastAsia="宋体" w:cs="宋体"/>
        </w:rPr>
        <w:t>负责管理，可设医疗远程会诊中心负责日常管理工作</w:t>
      </w:r>
      <w:r>
        <w:rPr>
          <w:rFonts w:hint="eastAsia"/>
        </w:rPr>
        <w:t>，负责接收远程会诊的申请，协调邀请方、会诊（培训）专家、信息科等确定并通知远程会诊（培训）时间。</w:t>
      </w:r>
    </w:p>
    <w:p>
      <w:pPr>
        <w:pStyle w:val="162"/>
        <w:numPr>
          <w:ilvl w:val="0"/>
          <w:numId w:val="0"/>
        </w:numPr>
        <w:rPr>
          <w:rFonts w:hint="eastAsia"/>
        </w:rPr>
      </w:pPr>
    </w:p>
    <w:p>
      <w:pPr>
        <w:pStyle w:val="162"/>
      </w:pPr>
      <w:r>
        <w:rPr>
          <w:rFonts w:hint="eastAsia"/>
        </w:rPr>
        <w:t xml:space="preserve">信息科提供远程医疗会诊技术支持平台，确保接收和发出的信息快捷、准确，会诊前提前完成与远程会诊医院的对接调试。为保证会诊流程畅通，需工程师协助至会诊结束。  </w:t>
      </w:r>
    </w:p>
    <w:p>
      <w:pPr>
        <w:pStyle w:val="162"/>
        <w:numPr>
          <w:ilvl w:val="0"/>
          <w:numId w:val="0"/>
        </w:numPr>
        <w:rPr>
          <w:rFonts w:hint="eastAsia"/>
        </w:rPr>
      </w:pPr>
    </w:p>
    <w:p>
      <w:pPr>
        <w:pStyle w:val="162"/>
      </w:pPr>
      <w:r>
        <w:rPr>
          <w:rFonts w:hint="eastAsia"/>
        </w:rPr>
        <w:t>信息科提供远程医疗会诊技术支持平台，确保接收和发出的信息快捷、准确，会诊前提前完成与远程会诊医院的对接调试。为保证会诊流程畅通，需工程师协助至会诊结束。</w:t>
      </w:r>
    </w:p>
    <w:p>
      <w:pPr>
        <w:pStyle w:val="162"/>
        <w:numPr>
          <w:ilvl w:val="0"/>
          <w:numId w:val="0"/>
        </w:numPr>
        <w:rPr>
          <w:rFonts w:hint="eastAsia"/>
        </w:rPr>
      </w:pPr>
    </w:p>
    <w:p>
      <w:pPr>
        <w:pStyle w:val="162"/>
        <w:rPr>
          <w:rFonts w:hint="eastAsia"/>
        </w:rPr>
      </w:pPr>
      <w:r>
        <w:rPr>
          <w:rFonts w:hint="eastAsia"/>
        </w:rPr>
        <w:t>申请会诊对象限于疑难危重病例及少见病例，并且已经经过科内或全院会诊，仍然不能明确诊断或治疗效果不佳者。</w:t>
      </w:r>
    </w:p>
    <w:p>
      <w:pPr>
        <w:pStyle w:val="162"/>
        <w:numPr>
          <w:ilvl w:val="2"/>
          <w:numId w:val="0"/>
        </w:numPr>
        <w:ind w:leftChars="0"/>
        <w:rPr>
          <w:rFonts w:hint="eastAsia"/>
        </w:rPr>
      </w:pPr>
    </w:p>
    <w:p>
      <w:pPr>
        <w:pStyle w:val="162"/>
        <w:rPr>
          <w:rFonts w:hint="eastAsia"/>
        </w:rPr>
      </w:pPr>
      <w:r>
        <w:rPr>
          <w:rFonts w:hint="eastAsia"/>
        </w:rPr>
        <w:t>远程医疗会诊只作为临床诊疗活动的辅助手段，对患者诊断、治疗的决定权仍属于申请会诊的医疗机构，若出现医疗纠纷由申请会诊的医疗机构负责协调解决。</w:t>
      </w:r>
    </w:p>
    <w:p>
      <w:pPr>
        <w:pStyle w:val="104"/>
        <w:spacing w:before="312" w:after="312"/>
        <w:ind w:left="0" w:leftChars="0" w:firstLine="0" w:firstLineChars="0"/>
      </w:pPr>
      <w:bookmarkStart w:id="58" w:name="_Toc30180"/>
      <w:r>
        <w:rPr>
          <w:rFonts w:hint="eastAsia"/>
          <w:lang w:val="en-US" w:eastAsia="zh-CN"/>
        </w:rPr>
        <w:t>人力资源配置</w:t>
      </w:r>
      <w:bookmarkEnd w:id="58"/>
    </w:p>
    <w:p>
      <w:pPr>
        <w:pStyle w:val="162"/>
        <w:rPr>
          <w:rFonts w:hint="eastAsia" w:eastAsia="黑体"/>
          <w:lang w:val="en-US" w:eastAsia="zh-CN"/>
        </w:rPr>
      </w:pPr>
      <w:r>
        <w:rPr>
          <w:rFonts w:hint="eastAsia"/>
          <w:lang w:val="en-US" w:eastAsia="zh-CN"/>
        </w:rPr>
        <w:t>中心设置负责人1名，由医务处（医务科）副主任兼任，具体办公人员1-2名，可由医务处（医务科）人员及信息科人员担任。</w:t>
      </w:r>
    </w:p>
    <w:p>
      <w:pPr>
        <w:pStyle w:val="162"/>
        <w:rPr>
          <w:rFonts w:hint="eastAsia"/>
          <w:lang w:val="en-US" w:eastAsia="zh-CN"/>
        </w:rPr>
      </w:pPr>
      <w:r>
        <w:rPr>
          <w:rFonts w:hint="eastAsia"/>
          <w:lang w:val="en-US" w:eastAsia="zh-CN"/>
        </w:rPr>
        <w:t>中心负责人负责制定工作制度、流程、绩效、考核措施，工作人员负责日常工作，协助负责人管理和质控。</w:t>
      </w:r>
    </w:p>
    <w:p>
      <w:pPr>
        <w:pStyle w:val="162"/>
        <w:numPr>
          <w:ilvl w:val="2"/>
          <w:numId w:val="0"/>
        </w:numPr>
        <w:ind w:leftChars="0"/>
        <w:rPr>
          <w:rFonts w:hint="eastAsia"/>
          <w:color w:val="C00000"/>
          <w:lang w:val="en-US" w:eastAsia="zh-CN"/>
        </w:rPr>
      </w:pPr>
    </w:p>
    <w:p>
      <w:pPr>
        <w:pStyle w:val="104"/>
        <w:spacing w:before="312" w:after="312"/>
        <w:ind w:left="0" w:leftChars="0" w:firstLine="0" w:firstLineChars="0"/>
      </w:pPr>
      <w:bookmarkStart w:id="67" w:name="_GoBack"/>
      <w:bookmarkEnd w:id="67"/>
      <w:bookmarkStart w:id="59" w:name="_Toc12270"/>
      <w:r>
        <w:rPr>
          <w:rFonts w:hint="eastAsia"/>
        </w:rPr>
        <w:t>设施设备要求</w:t>
      </w:r>
      <w:bookmarkEnd w:id="59"/>
    </w:p>
    <w:p>
      <w:pPr>
        <w:pStyle w:val="162"/>
      </w:pPr>
      <w:r>
        <w:rPr>
          <w:rFonts w:hint="eastAsia"/>
        </w:rPr>
        <w:t>远程医疗信息系统应当满足图像、声音、文字以及诊疗所需其他医疗信息的安全、实时传输，图像清晰，数据准确，符合《远程医疗信息系统建设技术指南》，满足临床诊疗要求。远程中心会诊平台包括病历数据平台和视讯系统两部分，病历数据平台可以与不同的视讯系统配合使用，视讯系统可以兼容多种终端和通讯方式。一般采用音视频交互式远程会诊，同时兼容多学科会诊和多层级会诊。</w:t>
      </w:r>
    </w:p>
    <w:p>
      <w:pPr>
        <w:pStyle w:val="162"/>
        <w:numPr>
          <w:ilvl w:val="0"/>
          <w:numId w:val="0"/>
        </w:numPr>
        <w:rPr>
          <w:rFonts w:hint="eastAsia"/>
        </w:rPr>
      </w:pPr>
    </w:p>
    <w:p>
      <w:pPr>
        <w:pStyle w:val="162"/>
      </w:pPr>
      <w:r>
        <w:rPr>
          <w:rFonts w:hint="eastAsia"/>
        </w:rPr>
        <w:t>重要设备和网络应当有不间断电源。</w:t>
      </w:r>
    </w:p>
    <w:p>
      <w:pPr>
        <w:pStyle w:val="162"/>
        <w:numPr>
          <w:ilvl w:val="0"/>
          <w:numId w:val="0"/>
        </w:numPr>
        <w:rPr>
          <w:rFonts w:hint="eastAsia"/>
        </w:rPr>
      </w:pPr>
    </w:p>
    <w:p>
      <w:pPr>
        <w:pStyle w:val="162"/>
      </w:pPr>
      <w:r>
        <w:rPr>
          <w:rFonts w:hint="eastAsia"/>
        </w:rPr>
        <w:t>远程医疗服务网络应当至少有2家网络供应商提供的网络，保障远程医疗服务信息传输通畅。有条件的可以建设远程医疗专网。</w:t>
      </w:r>
    </w:p>
    <w:p>
      <w:pPr>
        <w:pStyle w:val="162"/>
        <w:numPr>
          <w:ilvl w:val="0"/>
          <w:numId w:val="0"/>
        </w:numPr>
        <w:rPr>
          <w:rFonts w:hint="eastAsia"/>
        </w:rPr>
      </w:pPr>
    </w:p>
    <w:p>
      <w:pPr>
        <w:pStyle w:val="162"/>
        <w:rPr>
          <w:rFonts w:hint="eastAsia" w:ascii="宋体" w:hAnsi="Times New Roman" w:eastAsia="宋体" w:cs="Times New Roman"/>
          <w:sz w:val="21"/>
          <w:lang w:val="en-US" w:eastAsia="zh-CN" w:bidi="ar-SA"/>
        </w:rPr>
      </w:pPr>
      <w:r>
        <w:rPr>
          <w:rFonts w:hint="eastAsia"/>
        </w:rPr>
        <w:t>设备维护：定期对远程会诊设备进行性能验证和维护，确保设备正常运行并满足会诊需求。</w:t>
      </w:r>
    </w:p>
    <w:p>
      <w:pPr>
        <w:pStyle w:val="104"/>
        <w:spacing w:before="312" w:after="312"/>
        <w:ind w:left="0" w:leftChars="0" w:firstLine="0" w:firstLineChars="0"/>
      </w:pPr>
      <w:bookmarkStart w:id="60" w:name="_Toc13567"/>
      <w:r>
        <w:rPr>
          <w:rFonts w:hint="eastAsia"/>
          <w:lang w:val="en-US" w:eastAsia="zh-CN"/>
        </w:rPr>
        <w:t>信息化建设</w:t>
      </w:r>
      <w:bookmarkEnd w:id="60"/>
    </w:p>
    <w:p>
      <w:pPr>
        <w:pStyle w:val="223"/>
        <w:ind w:left="420" w:hanging="420" w:hangingChars="200"/>
      </w:pPr>
      <w:r>
        <w:rPr>
          <w:rFonts w:hint="eastAsia"/>
          <w:lang w:val="en-US" w:eastAsia="zh-CN"/>
        </w:rPr>
        <w:t>视频监护</w:t>
      </w:r>
    </w:p>
    <w:p>
      <w:pPr>
        <w:pStyle w:val="56"/>
        <w:ind w:firstLine="420"/>
        <w:rPr>
          <w:rFonts w:hint="eastAsia"/>
        </w:rPr>
      </w:pPr>
    </w:p>
    <w:p>
      <w:pPr>
        <w:pStyle w:val="56"/>
        <w:ind w:firstLine="420"/>
      </w:pPr>
      <w:r>
        <w:rPr>
          <w:rFonts w:hint="eastAsia"/>
        </w:rPr>
        <w:t>对隔离区病患，系统可以无缝对接各类医疗设备，远程在线即可调阅病患体征数据；同时通过高清双向实时互动视频与病患建立联系，随时了解掌握病患心理状态及日常需求。</w:t>
      </w:r>
    </w:p>
    <w:p>
      <w:pPr>
        <w:pStyle w:val="56"/>
        <w:ind w:firstLine="420"/>
        <w:rPr>
          <w:rFonts w:hint="eastAsia"/>
        </w:rPr>
      </w:pPr>
    </w:p>
    <w:p>
      <w:pPr>
        <w:pStyle w:val="223"/>
        <w:ind w:left="420" w:hanging="420" w:hangingChars="200"/>
      </w:pPr>
      <w:r>
        <w:rPr>
          <w:rFonts w:hint="eastAsia"/>
        </w:rPr>
        <w:t>远程会诊</w:t>
      </w:r>
    </w:p>
    <w:p>
      <w:pPr>
        <w:pStyle w:val="56"/>
        <w:ind w:firstLine="420"/>
      </w:pPr>
    </w:p>
    <w:p>
      <w:pPr>
        <w:pStyle w:val="56"/>
        <w:ind w:firstLine="420"/>
      </w:pPr>
      <w:r>
        <w:rPr>
          <w:rFonts w:hint="eastAsia"/>
        </w:rPr>
        <w:t>针对病患（尤其是重症、危重患者），通过系统可以连线院内外医护专家，组织多方会诊，争分夺秒提出治疗方案，对症下药；与此同时，可以分级会诊，对医护力量薄弱区域，实施远程会诊指导，应救尽救，不落下一个病患。</w:t>
      </w:r>
    </w:p>
    <w:p>
      <w:pPr>
        <w:pStyle w:val="56"/>
        <w:ind w:firstLine="420"/>
        <w:rPr>
          <w:rFonts w:hint="eastAsia"/>
        </w:rPr>
      </w:pPr>
    </w:p>
    <w:p>
      <w:pPr>
        <w:pStyle w:val="223"/>
        <w:ind w:left="420" w:hanging="420" w:hangingChars="200"/>
      </w:pPr>
      <w:r>
        <w:rPr>
          <w:rFonts w:hint="eastAsia"/>
        </w:rPr>
        <w:t>视频查房</w:t>
      </w:r>
    </w:p>
    <w:p>
      <w:pPr>
        <w:pStyle w:val="56"/>
        <w:ind w:firstLine="420"/>
      </w:pPr>
    </w:p>
    <w:p>
      <w:pPr>
        <w:pStyle w:val="56"/>
        <w:ind w:firstLine="420"/>
      </w:pPr>
      <w:r>
        <w:rPr>
          <w:rFonts w:hint="eastAsia"/>
        </w:rPr>
        <w:t>通常情况下，医护人员需要定时到病床查看病患身体状况，但是如果发生疫情，医护人员就可以利用远程实时会诊系统，在非必要的情况下，通过终端设备（显示屏幕）远程照看病人，甚至可以一人同时照看多位病人，节省医护物资、医护力量。</w:t>
      </w:r>
    </w:p>
    <w:p>
      <w:pPr>
        <w:pStyle w:val="56"/>
        <w:ind w:firstLine="420"/>
        <w:rPr>
          <w:rFonts w:hint="eastAsia"/>
        </w:rPr>
      </w:pPr>
    </w:p>
    <w:p>
      <w:pPr>
        <w:pStyle w:val="223"/>
        <w:ind w:left="420" w:hanging="420" w:hangingChars="200"/>
      </w:pPr>
      <w:r>
        <w:rPr>
          <w:rFonts w:hint="eastAsia"/>
        </w:rPr>
        <w:t>远程探视</w:t>
      </w:r>
    </w:p>
    <w:p>
      <w:pPr>
        <w:pStyle w:val="56"/>
        <w:ind w:firstLine="420"/>
      </w:pPr>
    </w:p>
    <w:p>
      <w:pPr>
        <w:pStyle w:val="56"/>
        <w:ind w:firstLine="420"/>
      </w:pPr>
      <w:r>
        <w:rPr>
          <w:rFonts w:hint="eastAsia"/>
        </w:rPr>
        <w:t>面对危急重症患者、重点监护人员，可以通过系统进行远程视频会面（诸如上级单位人员深入一线了解情况、慰问病患等场景），在不影响病患救治的同时，尽可能缓解重症病人心理负担、压力，积极配合治疗，早日康复。</w:t>
      </w:r>
    </w:p>
    <w:p>
      <w:pPr>
        <w:pStyle w:val="56"/>
        <w:ind w:firstLine="420"/>
        <w:rPr>
          <w:rFonts w:hint="eastAsia"/>
        </w:rPr>
      </w:pPr>
    </w:p>
    <w:p>
      <w:pPr>
        <w:pStyle w:val="223"/>
        <w:ind w:left="420" w:hanging="420" w:hangingChars="200"/>
      </w:pPr>
      <w:r>
        <w:rPr>
          <w:rFonts w:hint="eastAsia"/>
        </w:rPr>
        <w:t>远程教育</w:t>
      </w:r>
    </w:p>
    <w:p>
      <w:pPr>
        <w:pStyle w:val="56"/>
        <w:ind w:firstLine="420"/>
      </w:pPr>
    </w:p>
    <w:p>
      <w:pPr>
        <w:pStyle w:val="56"/>
        <w:ind w:firstLine="420"/>
      </w:pPr>
      <w:r>
        <w:rPr>
          <w:rFonts w:hint="eastAsia"/>
        </w:rPr>
        <w:t>支持实时交互和课件点播两种培训模式。实时交互培训应能保证授课专家音视频与课件播放同步；支持培训参与方实时交互；支持对培训过程的录像，并保存为通用文件格式存储在远程会诊中心，并支持进行流媒体课件的制作、整理、归类。支持远程手术观摩、远程护理示教及远程教学查房。</w:t>
      </w:r>
    </w:p>
    <w:p>
      <w:pPr>
        <w:pStyle w:val="56"/>
        <w:ind w:firstLine="420"/>
        <w:rPr>
          <w:rFonts w:hint="eastAsia"/>
        </w:rPr>
      </w:pPr>
    </w:p>
    <w:p>
      <w:pPr>
        <w:pStyle w:val="223"/>
        <w:ind w:left="420" w:hanging="420" w:hangingChars="200"/>
      </w:pPr>
      <w:r>
        <w:rPr>
          <w:rFonts w:hint="eastAsia"/>
        </w:rPr>
        <w:t>远程数字资源共享</w:t>
      </w:r>
    </w:p>
    <w:p>
      <w:pPr>
        <w:pStyle w:val="56"/>
        <w:ind w:firstLine="420"/>
      </w:pPr>
    </w:p>
    <w:p>
      <w:pPr>
        <w:pStyle w:val="56"/>
        <w:ind w:firstLine="420"/>
      </w:pPr>
      <w:r>
        <w:rPr>
          <w:rFonts w:hint="eastAsia"/>
        </w:rPr>
        <w:t>支持基层医疗机构共享医学图书情报资源，为其查阅医学文献提供便利，以提高基层医务人员的业务水平。支持上级医院把具有典型意义的病历、案例分析、手术录像等资料共享给下级医院，供基层医院医务人员参考、学习。</w:t>
      </w:r>
    </w:p>
    <w:p>
      <w:pPr>
        <w:pStyle w:val="56"/>
        <w:ind w:firstLine="420"/>
        <w:rPr>
          <w:rFonts w:hint="eastAsia"/>
        </w:rPr>
      </w:pPr>
    </w:p>
    <w:p>
      <w:pPr>
        <w:pStyle w:val="223"/>
        <w:ind w:left="420" w:hanging="420" w:hangingChars="200"/>
      </w:pPr>
      <w:r>
        <w:rPr>
          <w:rFonts w:hint="eastAsia"/>
        </w:rPr>
        <w:t>双向转诊及远程预约</w:t>
      </w:r>
    </w:p>
    <w:p>
      <w:pPr>
        <w:pStyle w:val="56"/>
        <w:ind w:firstLine="420"/>
      </w:pPr>
    </w:p>
    <w:p>
      <w:pPr>
        <w:pStyle w:val="56"/>
        <w:ind w:firstLine="420"/>
      </w:pPr>
      <w:r>
        <w:rPr>
          <w:rFonts w:hint="eastAsia"/>
        </w:rPr>
        <w:t>支持基层医疗机构和上级医院之间的双向转诊和远程预约。支持上级医院出院病人信息自动下转至病人所属基层医疗机构，由基层对病人进行随访与院后管理，引导病人当地复查复诊。支持基层医院完成预约挂号、预约检查、转院申请等操作；支持上级医院完成相关申请受理及信息反馈。</w:t>
      </w:r>
    </w:p>
    <w:p>
      <w:pPr>
        <w:pStyle w:val="56"/>
        <w:ind w:firstLine="420"/>
        <w:rPr>
          <w:rFonts w:hint="eastAsia"/>
        </w:rPr>
      </w:pPr>
    </w:p>
    <w:p>
      <w:pPr>
        <w:pStyle w:val="223"/>
        <w:ind w:left="420" w:hanging="420" w:hangingChars="200"/>
      </w:pPr>
      <w:r>
        <w:rPr>
          <w:rFonts w:hint="eastAsia"/>
        </w:rPr>
        <w:t>电子身份认证</w:t>
      </w:r>
    </w:p>
    <w:p>
      <w:pPr>
        <w:pStyle w:val="56"/>
        <w:ind w:firstLine="420"/>
      </w:pPr>
    </w:p>
    <w:p>
      <w:pPr>
        <w:pStyle w:val="56"/>
        <w:ind w:firstLine="420"/>
        <w:rPr>
          <w:rFonts w:hint="eastAsia"/>
        </w:rPr>
      </w:pPr>
      <w:r>
        <w:rPr>
          <w:rFonts w:hint="eastAsia"/>
        </w:rPr>
        <w:t>接入统一身份认证系统，实现对单位和个人进行跨系统的统一身份认证和数据加密认证，确保系统运行安全和数据安全。</w:t>
      </w:r>
    </w:p>
    <w:p>
      <w:pPr>
        <w:pStyle w:val="56"/>
        <w:ind w:firstLine="420"/>
        <w:rPr>
          <w:rFonts w:hint="eastAsia"/>
        </w:rPr>
      </w:pPr>
    </w:p>
    <w:p>
      <w:pPr>
        <w:pStyle w:val="223"/>
        <w:ind w:left="420" w:hanging="420" w:hangingChars="200"/>
      </w:pPr>
      <w:r>
        <w:rPr>
          <w:rFonts w:hint="eastAsia"/>
        </w:rPr>
        <w:t>短信平台</w:t>
      </w:r>
    </w:p>
    <w:p>
      <w:pPr>
        <w:pStyle w:val="56"/>
        <w:ind w:firstLine="420"/>
      </w:pPr>
    </w:p>
    <w:p>
      <w:pPr>
        <w:pStyle w:val="56"/>
        <w:ind w:firstLine="420"/>
      </w:pPr>
      <w:r>
        <w:rPr>
          <w:rFonts w:hint="eastAsia"/>
        </w:rPr>
        <w:t>支持站内短消息通知和手机短信通知，系统内部用户可通过站内短消息功能发送一对一或一对多通知，亦可通过手机短信平台手动或自动进行事务处理通知，便于及时有效处理会诊申请，实现会诊时间提醒等。</w:t>
      </w:r>
    </w:p>
    <w:p>
      <w:pPr>
        <w:pStyle w:val="56"/>
        <w:ind w:firstLine="420"/>
        <w:rPr>
          <w:rFonts w:hint="eastAsia"/>
        </w:rPr>
      </w:pPr>
    </w:p>
    <w:p>
      <w:pPr>
        <w:pStyle w:val="223"/>
        <w:ind w:left="420" w:hanging="420" w:hangingChars="200"/>
      </w:pPr>
      <w:r>
        <w:rPr>
          <w:rFonts w:hint="eastAsia"/>
        </w:rPr>
        <w:t>费用结算</w:t>
      </w:r>
    </w:p>
    <w:p>
      <w:pPr>
        <w:pStyle w:val="56"/>
        <w:ind w:firstLine="420"/>
        <w:rPr>
          <w:rFonts w:hint="eastAsia"/>
        </w:rPr>
      </w:pPr>
    </w:p>
    <w:p>
      <w:pPr>
        <w:pStyle w:val="56"/>
        <w:ind w:firstLine="420"/>
      </w:pPr>
      <w:r>
        <w:rPr>
          <w:rFonts w:hint="eastAsia"/>
        </w:rPr>
        <w:t>远程医疗会诊收费标准将按照省、市规定的价格、卫生行政部门制定的医疗服务价格执行。</w:t>
      </w:r>
    </w:p>
    <w:p>
      <w:pPr>
        <w:pStyle w:val="104"/>
        <w:spacing w:before="312" w:after="312"/>
        <w:ind w:left="0" w:leftChars="0" w:firstLine="0" w:firstLineChars="0"/>
      </w:pPr>
      <w:bookmarkStart w:id="61" w:name="_Toc19503"/>
      <w:r>
        <w:rPr>
          <w:rFonts w:hint="eastAsia"/>
          <w:lang w:val="en-US" w:eastAsia="zh-CN"/>
        </w:rPr>
        <w:t>运行管理</w:t>
      </w:r>
      <w:bookmarkEnd w:id="61"/>
    </w:p>
    <w:p>
      <w:pPr>
        <w:pStyle w:val="162"/>
      </w:pPr>
      <w:r>
        <w:rPr>
          <w:rFonts w:hint="eastAsia"/>
        </w:rPr>
        <w:t>按照国家发布或认可的诊疗技术规范和操作规程有关要求，建立并实施医疗质量管理体系，遵守相关技术规范和标准，实行患者实名制管理，持续改进医疗质量。</w:t>
      </w:r>
    </w:p>
    <w:p>
      <w:pPr>
        <w:pStyle w:val="162"/>
        <w:numPr>
          <w:ilvl w:val="0"/>
          <w:numId w:val="0"/>
        </w:numPr>
        <w:rPr>
          <w:rFonts w:hint="eastAsia"/>
        </w:rPr>
      </w:pPr>
    </w:p>
    <w:p>
      <w:pPr>
        <w:pStyle w:val="162"/>
      </w:pPr>
      <w:r>
        <w:rPr>
          <w:rFonts w:hint="eastAsia"/>
        </w:rPr>
        <w:t>积极参与省级以上远程医疗服务质控中心组织的医疗质量管理与控制相关工作，接受卫生健康行政部门和质控中心的业务指导与监管。</w:t>
      </w:r>
    </w:p>
    <w:p>
      <w:pPr>
        <w:pStyle w:val="162"/>
        <w:numPr>
          <w:ilvl w:val="0"/>
          <w:numId w:val="0"/>
        </w:numPr>
        <w:rPr>
          <w:rFonts w:hint="eastAsia"/>
        </w:rPr>
      </w:pPr>
    </w:p>
    <w:p>
      <w:pPr>
        <w:pStyle w:val="162"/>
      </w:pPr>
      <w:r>
        <w:rPr>
          <w:rFonts w:hint="eastAsia"/>
        </w:rPr>
        <w:t>医疗质量安全管理人员督促落实各项规章制度和日常管理工作，并对本机构远程医疗服务行为进行定期巡视。</w:t>
      </w:r>
    </w:p>
    <w:p>
      <w:pPr>
        <w:pStyle w:val="162"/>
        <w:numPr>
          <w:ilvl w:val="0"/>
          <w:numId w:val="0"/>
        </w:numPr>
        <w:rPr>
          <w:rFonts w:hint="eastAsia"/>
        </w:rPr>
      </w:pPr>
    </w:p>
    <w:p>
      <w:pPr>
        <w:pStyle w:val="162"/>
      </w:pPr>
      <w:r>
        <w:rPr>
          <w:rFonts w:hint="eastAsia"/>
        </w:rPr>
        <w:t>信息技术专业人员做好远程医疗设备的日常维护，保证其正常运转。</w:t>
      </w:r>
    </w:p>
    <w:p>
      <w:pPr>
        <w:pStyle w:val="162"/>
        <w:numPr>
          <w:ilvl w:val="0"/>
          <w:numId w:val="0"/>
        </w:numPr>
        <w:rPr>
          <w:rFonts w:hint="eastAsia"/>
        </w:rPr>
      </w:pPr>
    </w:p>
    <w:p>
      <w:pPr>
        <w:pStyle w:val="162"/>
      </w:pPr>
      <w:r>
        <w:rPr>
          <w:rFonts w:hint="eastAsia"/>
        </w:rPr>
        <w:t>受邀方参与远程医疗服务的医务人员应当具有应急处理能力。</w:t>
      </w:r>
    </w:p>
    <w:p>
      <w:pPr>
        <w:pStyle w:val="162"/>
        <w:numPr>
          <w:ilvl w:val="0"/>
          <w:numId w:val="0"/>
        </w:numPr>
        <w:rPr>
          <w:rFonts w:hint="eastAsia"/>
        </w:rPr>
      </w:pPr>
    </w:p>
    <w:p>
      <w:pPr>
        <w:pStyle w:val="162"/>
      </w:pPr>
      <w:r>
        <w:rPr>
          <w:rFonts w:hint="eastAsia"/>
        </w:rPr>
        <w:t>提供医学检查检验等服务的远程医疗服务中心，应当配备具有相应资质的卫生专业技术人员，按照相应的规范开展工作。</w:t>
      </w:r>
    </w:p>
    <w:p>
      <w:pPr>
        <w:pStyle w:val="162"/>
        <w:numPr>
          <w:ilvl w:val="0"/>
          <w:numId w:val="0"/>
        </w:numPr>
        <w:rPr>
          <w:rFonts w:hint="eastAsia"/>
        </w:rPr>
      </w:pPr>
    </w:p>
    <w:p>
      <w:pPr>
        <w:pStyle w:val="162"/>
      </w:pPr>
      <w:r>
        <w:rPr>
          <w:rFonts w:hint="eastAsia"/>
        </w:rPr>
        <w:t>建立良好的医患沟通机制，保障患者知情同意权，维护患者合法权益。</w:t>
      </w:r>
    </w:p>
    <w:p>
      <w:pPr>
        <w:pStyle w:val="162"/>
        <w:numPr>
          <w:ilvl w:val="0"/>
          <w:numId w:val="0"/>
        </w:numPr>
        <w:rPr>
          <w:rFonts w:hint="eastAsia"/>
        </w:rPr>
      </w:pPr>
    </w:p>
    <w:p>
      <w:pPr>
        <w:pStyle w:val="162"/>
        <w:rPr>
          <w:rFonts w:hint="eastAsia"/>
        </w:rPr>
      </w:pPr>
      <w:r>
        <w:rPr>
          <w:rFonts w:hint="eastAsia"/>
        </w:rPr>
        <w:t>严格按照有关规定与要求，规范使用和管理医疗设备、医疗耗材、消毒药械和医疗用品等。</w:t>
      </w:r>
    </w:p>
    <w:p>
      <w:pPr>
        <w:pStyle w:val="56"/>
        <w:ind w:firstLine="0" w:firstLineChars="0"/>
      </w:pPr>
    </w:p>
    <w:p>
      <w:pPr>
        <w:pStyle w:val="56"/>
        <w:ind w:firstLine="0" w:firstLineChars="0"/>
      </w:pPr>
    </w:p>
    <w:p>
      <w:pPr>
        <w:pStyle w:val="56"/>
        <w:ind w:firstLine="0" w:firstLineChars="0"/>
      </w:pPr>
    </w:p>
    <w:p>
      <w:pPr>
        <w:pStyle w:val="56"/>
        <w:ind w:firstLine="0" w:firstLineChars="0"/>
      </w:pPr>
    </w:p>
    <w:p>
      <w:pPr>
        <w:pStyle w:val="56"/>
        <w:ind w:firstLine="0" w:firstLineChars="0"/>
      </w:pPr>
    </w:p>
    <w:p>
      <w:pPr>
        <w:pStyle w:val="56"/>
        <w:ind w:firstLine="0" w:firstLineChars="0"/>
      </w:pPr>
    </w:p>
    <w:p>
      <w:pPr>
        <w:pStyle w:val="56"/>
        <w:ind w:firstLine="0" w:firstLineChars="0"/>
      </w:pPr>
    </w:p>
    <w:p>
      <w:pPr>
        <w:pStyle w:val="63"/>
        <w:spacing w:after="156"/>
      </w:pPr>
      <w:bookmarkStart w:id="62" w:name="_Toc163899609"/>
      <w:bookmarkStart w:id="63" w:name="_Toc164497892"/>
      <w:bookmarkStart w:id="64" w:name="_Toc167178907"/>
      <w:bookmarkStart w:id="65" w:name="_Toc5032"/>
      <w:bookmarkStart w:id="66" w:name="_Toc167177393"/>
      <w:r>
        <w:rPr>
          <w:rFonts w:hint="eastAsia"/>
          <w:spacing w:val="105"/>
        </w:rPr>
        <w:t>参考文</w:t>
      </w:r>
      <w:r>
        <w:rPr>
          <w:rFonts w:hint="eastAsia"/>
        </w:rPr>
        <w:t>献</w:t>
      </w:r>
      <w:bookmarkEnd w:id="62"/>
      <w:bookmarkEnd w:id="63"/>
      <w:bookmarkEnd w:id="64"/>
      <w:bookmarkEnd w:id="65"/>
      <w:bookmarkEnd w:id="66"/>
    </w:p>
    <w:p>
      <w:pPr>
        <w:pStyle w:val="56"/>
        <w:numPr>
          <w:ilvl w:val="0"/>
          <w:numId w:val="33"/>
        </w:numPr>
        <w:ind w:firstLine="420"/>
      </w:pPr>
      <w:r>
        <w:rPr>
          <w:rFonts w:hint="eastAsia"/>
        </w:rPr>
        <w:t>《互联网医院管理办法（试行）》</w:t>
      </w:r>
    </w:p>
    <w:p>
      <w:pPr>
        <w:pStyle w:val="56"/>
        <w:numPr>
          <w:ilvl w:val="0"/>
          <w:numId w:val="33"/>
        </w:numPr>
        <w:ind w:firstLine="420"/>
      </w:pPr>
      <w:r>
        <w:rPr>
          <w:rFonts w:hint="eastAsia"/>
        </w:rPr>
        <w:t>《互联网诊疗管理办法（试行）》</w:t>
      </w:r>
    </w:p>
    <w:p>
      <w:pPr>
        <w:pStyle w:val="56"/>
        <w:numPr>
          <w:ilvl w:val="0"/>
          <w:numId w:val="33"/>
        </w:numPr>
        <w:ind w:firstLine="420"/>
      </w:pPr>
      <w:r>
        <w:rPr>
          <w:rFonts w:hint="eastAsia"/>
        </w:rPr>
        <w:t>《远程医疗服务管理规范（试行）》</w:t>
      </w:r>
    </w:p>
    <w:p>
      <w:pPr>
        <w:pStyle w:val="56"/>
        <w:numPr>
          <w:ilvl w:val="0"/>
          <w:numId w:val="33"/>
        </w:numPr>
        <w:ind w:firstLine="420"/>
      </w:pPr>
      <w:r>
        <w:rPr>
          <w:rFonts w:hint="eastAsia"/>
        </w:rPr>
        <w:t>《执业医师法》</w:t>
      </w:r>
    </w:p>
    <w:p>
      <w:pPr>
        <w:pStyle w:val="56"/>
        <w:numPr>
          <w:ilvl w:val="0"/>
          <w:numId w:val="33"/>
        </w:numPr>
        <w:ind w:firstLine="420"/>
      </w:pPr>
      <w:r>
        <w:rPr>
          <w:rFonts w:hint="eastAsia"/>
        </w:rPr>
        <w:t>《医师外出会诊管理暂行规定》</w:t>
      </w:r>
    </w:p>
    <w:p>
      <w:pPr>
        <w:pStyle w:val="56"/>
        <w:numPr>
          <w:ilvl w:val="0"/>
          <w:numId w:val="33"/>
        </w:numPr>
        <w:ind w:firstLine="420"/>
      </w:pPr>
      <w:r>
        <w:rPr>
          <w:rFonts w:hint="eastAsia"/>
        </w:rPr>
        <w:t>《转诊制度》</w:t>
      </w:r>
    </w:p>
    <w:p>
      <w:pPr>
        <w:pStyle w:val="56"/>
        <w:numPr>
          <w:ilvl w:val="0"/>
          <w:numId w:val="33"/>
        </w:numPr>
        <w:ind w:firstLine="420"/>
        <w:rPr>
          <w:rFonts w:hint="eastAsia"/>
        </w:rPr>
      </w:pPr>
      <w:r>
        <w:rPr>
          <w:rFonts w:hint="eastAsia"/>
        </w:rPr>
        <w:t>《关于推进分级诊疗制度建设的指导意见》</w:t>
      </w:r>
      <w:bookmarkEnd w:id="26"/>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32/T 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32/T XXXX—2024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2EE25451"/>
    <w:multiLevelType w:val="singleLevel"/>
    <w:tmpl w:val="2EE25451"/>
    <w:lvl w:ilvl="0" w:tentative="0">
      <w:start w:val="1"/>
      <w:numFmt w:val="decimal"/>
      <w:lvlText w:val="[%1]"/>
      <w:lvlJc w:val="left"/>
      <w:pPr>
        <w:tabs>
          <w:tab w:val="left" w:pos="312"/>
        </w:tabs>
      </w:pPr>
    </w:lvl>
  </w:abstractNum>
  <w:abstractNum w:abstractNumId="12">
    <w:nsid w:val="2F04697C"/>
    <w:multiLevelType w:val="multilevel"/>
    <w:tmpl w:val="2F04697C"/>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85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5"/>
  </w:num>
  <w:num w:numId="5">
    <w:abstractNumId w:val="20"/>
  </w:num>
  <w:num w:numId="6">
    <w:abstractNumId w:val="15"/>
  </w:num>
  <w:num w:numId="7">
    <w:abstractNumId w:val="8"/>
  </w:num>
  <w:num w:numId="8">
    <w:abstractNumId w:val="3"/>
  </w:num>
  <w:num w:numId="9">
    <w:abstractNumId w:val="9"/>
  </w:num>
  <w:num w:numId="10">
    <w:abstractNumId w:val="18"/>
  </w:num>
  <w:num w:numId="11">
    <w:abstractNumId w:val="27"/>
  </w:num>
  <w:num w:numId="12">
    <w:abstractNumId w:val="13"/>
  </w:num>
  <w:num w:numId="13">
    <w:abstractNumId w:val="14"/>
  </w:num>
  <w:num w:numId="14">
    <w:abstractNumId w:val="7"/>
  </w:num>
  <w:num w:numId="15">
    <w:abstractNumId w:val="21"/>
  </w:num>
  <w:num w:numId="16">
    <w:abstractNumId w:val="23"/>
  </w:num>
  <w:num w:numId="17">
    <w:abstractNumId w:val="19"/>
  </w:num>
  <w:num w:numId="18">
    <w:abstractNumId w:val="31"/>
  </w:num>
  <w:num w:numId="19">
    <w:abstractNumId w:val="17"/>
  </w:num>
  <w:num w:numId="20">
    <w:abstractNumId w:val="1"/>
  </w:num>
  <w:num w:numId="21">
    <w:abstractNumId w:val="10"/>
  </w:num>
  <w:num w:numId="22">
    <w:abstractNumId w:val="32"/>
  </w:num>
  <w:num w:numId="23">
    <w:abstractNumId w:val="22"/>
  </w:num>
  <w:num w:numId="24">
    <w:abstractNumId w:val="6"/>
  </w:num>
  <w:num w:numId="25">
    <w:abstractNumId w:val="28"/>
  </w:num>
  <w:num w:numId="26">
    <w:abstractNumId w:val="30"/>
  </w:num>
  <w:num w:numId="27">
    <w:abstractNumId w:val="2"/>
  </w:num>
  <w:num w:numId="28">
    <w:abstractNumId w:val="4"/>
  </w:num>
  <w:num w:numId="29">
    <w:abstractNumId w:val="16"/>
  </w:num>
  <w:num w:numId="30">
    <w:abstractNumId w:val="26"/>
  </w:num>
  <w:num w:numId="31">
    <w:abstractNumId w:val="24"/>
  </w:num>
  <w:num w:numId="32">
    <w:abstractNumId w:val="12"/>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VD/EEjL+3d1zloNu1Qo9jnt7YzN9VTwMfjtgRD5ctIZOyNhTGTZD298u7wGfLJ+xAGMCiClYqVwy6j9E7CT7ZA==" w:salt="l7A3em/FrvEVs/SFoLupr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Q5OTNhMGQ3Y2RmYmU4YTZlZjdjZDVlZDI0NzI0NWIifQ=="/>
  </w:docVars>
  <w:rsids>
    <w:rsidRoot w:val="000C2B66"/>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373"/>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B66"/>
    <w:rsid w:val="000C2FBD"/>
    <w:rsid w:val="000C4B41"/>
    <w:rsid w:val="000C57D6"/>
    <w:rsid w:val="000C6362"/>
    <w:rsid w:val="000C7666"/>
    <w:rsid w:val="000D0A9C"/>
    <w:rsid w:val="000D1795"/>
    <w:rsid w:val="000D329A"/>
    <w:rsid w:val="000D4B9C"/>
    <w:rsid w:val="000D4EB6"/>
    <w:rsid w:val="000D753B"/>
    <w:rsid w:val="000E2FD3"/>
    <w:rsid w:val="000E4C9E"/>
    <w:rsid w:val="000E6FD7"/>
    <w:rsid w:val="000F06E1"/>
    <w:rsid w:val="000F0E3C"/>
    <w:rsid w:val="000F19D5"/>
    <w:rsid w:val="000F4AEA"/>
    <w:rsid w:val="000F633F"/>
    <w:rsid w:val="000F67E9"/>
    <w:rsid w:val="00104926"/>
    <w:rsid w:val="00113B1E"/>
    <w:rsid w:val="00115650"/>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5427"/>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1F7F7E"/>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351"/>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4E01"/>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486A"/>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11A2"/>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182"/>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16DF"/>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07C50"/>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3684"/>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2FD4"/>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C5A35"/>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49115E6"/>
    <w:rsid w:val="072E61C0"/>
    <w:rsid w:val="099D00FD"/>
    <w:rsid w:val="09E63BE5"/>
    <w:rsid w:val="0AB30C7B"/>
    <w:rsid w:val="0CEC3390"/>
    <w:rsid w:val="0D6979D6"/>
    <w:rsid w:val="0D894D92"/>
    <w:rsid w:val="0DE325EB"/>
    <w:rsid w:val="0E091B9D"/>
    <w:rsid w:val="131D659F"/>
    <w:rsid w:val="171C08D1"/>
    <w:rsid w:val="180A4C18"/>
    <w:rsid w:val="19A35324"/>
    <w:rsid w:val="1CBE7DD4"/>
    <w:rsid w:val="1CF2284B"/>
    <w:rsid w:val="1D555078"/>
    <w:rsid w:val="1DEA026F"/>
    <w:rsid w:val="1DF24A24"/>
    <w:rsid w:val="1E011C0E"/>
    <w:rsid w:val="1F016D75"/>
    <w:rsid w:val="22F64717"/>
    <w:rsid w:val="29CD40AA"/>
    <w:rsid w:val="2AC65C09"/>
    <w:rsid w:val="2CD06DD8"/>
    <w:rsid w:val="2CD45AC9"/>
    <w:rsid w:val="30490467"/>
    <w:rsid w:val="31FD78E9"/>
    <w:rsid w:val="327C3006"/>
    <w:rsid w:val="395851C6"/>
    <w:rsid w:val="3CB054DF"/>
    <w:rsid w:val="3F161F71"/>
    <w:rsid w:val="3F631F51"/>
    <w:rsid w:val="43657023"/>
    <w:rsid w:val="444500F7"/>
    <w:rsid w:val="47C85DD2"/>
    <w:rsid w:val="48C12F4D"/>
    <w:rsid w:val="4C653BF0"/>
    <w:rsid w:val="4CC27294"/>
    <w:rsid w:val="4D7F5185"/>
    <w:rsid w:val="50802789"/>
    <w:rsid w:val="50FE2865"/>
    <w:rsid w:val="51044CBC"/>
    <w:rsid w:val="539611F8"/>
    <w:rsid w:val="569C19C2"/>
    <w:rsid w:val="596D1F92"/>
    <w:rsid w:val="5A4C4641"/>
    <w:rsid w:val="5B6B2501"/>
    <w:rsid w:val="5D173172"/>
    <w:rsid w:val="62C123EB"/>
    <w:rsid w:val="66083B12"/>
    <w:rsid w:val="66BC36C0"/>
    <w:rsid w:val="6BF951C8"/>
    <w:rsid w:val="722437C0"/>
    <w:rsid w:val="729F75AC"/>
    <w:rsid w:val="74092912"/>
    <w:rsid w:val="763D4682"/>
    <w:rsid w:val="792A1B99"/>
    <w:rsid w:val="7E1C7D03"/>
    <w:rsid w:val="7EB668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styleId="23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2E55BD611CC428688A39D562D77C5A1"/>
        <w:style w:val=""/>
        <w:category>
          <w:name w:val="常规"/>
          <w:gallery w:val="placeholder"/>
        </w:category>
        <w:types>
          <w:type w:val="bbPlcHdr"/>
        </w:types>
        <w:behaviors>
          <w:behavior w:val="content"/>
        </w:behaviors>
        <w:description w:val=""/>
        <w:guid w:val="{547B58B5-D041-4CB7-BC1A-79F4687F50A7}"/>
      </w:docPartPr>
      <w:docPartBody>
        <w:p>
          <w:pPr>
            <w:pStyle w:val="5"/>
          </w:pPr>
          <w:r>
            <w:rPr>
              <w:rStyle w:val="4"/>
              <w:rFonts w:hint="eastAsia"/>
            </w:rPr>
            <w:t>单击或点击此处输入文字。</w:t>
          </w:r>
        </w:p>
      </w:docPartBody>
    </w:docPart>
    <w:docPart>
      <w:docPartPr>
        <w:name w:val="A8A32B330BD54600B211AD843B344980"/>
        <w:style w:val=""/>
        <w:category>
          <w:name w:val="常规"/>
          <w:gallery w:val="placeholder"/>
        </w:category>
        <w:types>
          <w:type w:val="bbPlcHdr"/>
        </w:types>
        <w:behaviors>
          <w:behavior w:val="content"/>
        </w:behaviors>
        <w:description w:val=""/>
        <w:guid w:val="{DBDBE75A-B551-4774-85EA-DB90A2055827}"/>
      </w:docPartPr>
      <w:docPartBody>
        <w:p>
          <w:pPr>
            <w:pStyle w:val="6"/>
          </w:pPr>
          <w:r>
            <w:rPr>
              <w:rStyle w:val="4"/>
              <w:rFonts w:hint="eastAsia"/>
            </w:rPr>
            <w:t>选择一项。</w:t>
          </w:r>
        </w:p>
      </w:docPartBody>
    </w:docPart>
    <w:docPart>
      <w:docPartPr>
        <w:name w:val="5C98D0595D404AE886FEBC8F049B400F"/>
        <w:style w:val=""/>
        <w:category>
          <w:name w:val="常规"/>
          <w:gallery w:val="placeholder"/>
        </w:category>
        <w:types>
          <w:type w:val="bbPlcHdr"/>
        </w:types>
        <w:behaviors>
          <w:behavior w:val="content"/>
        </w:behaviors>
        <w:description w:val=""/>
        <w:guid w:val="{1BF7C70E-FD6F-4B35-A481-766EE5A0B65C}"/>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0AF7"/>
    <w:rsid w:val="000C6E50"/>
    <w:rsid w:val="00490A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22E55BD611CC428688A39D562D77C5A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A8A32B330BD54600B211AD843B34498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5C98D0595D404AE886FEBC8F049B400F"/>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9</Pages>
  <Words>5207</Words>
  <Characters>5413</Characters>
  <Lines>38</Lines>
  <Paragraphs>10</Paragraphs>
  <TotalTime>4</TotalTime>
  <ScaleCrop>false</ScaleCrop>
  <LinksUpToDate>false</LinksUpToDate>
  <CharactersWithSpaces>5481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2024-05-21T01:13:00Z</dcterms:created>
  <dc:creator>Lenovo</dc:creator>
  <dc:description>&lt;config cover="true" show_menu="true" version="1.0.0" doctype="SDKXY"&gt;_x000d_
&lt;/config&gt;</dc:description>
  <cp:lastModifiedBy>花萍</cp:lastModifiedBy>
  <cp:lastPrinted>2024-08-14T00:22:00Z</cp:lastPrinted>
  <dcterms:modified xsi:type="dcterms:W3CDTF">2024-08-17T01:07:04Z</dcterms:modified>
  <dc:title>地方标准</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2052-12.1.0.16929</vt:lpwstr>
  </property>
  <property fmtid="{D5CDD505-2E9C-101B-9397-08002B2CF9AE}" pid="15" name="ICV">
    <vt:lpwstr>5913BA93CADC463CAFB13D4723DB1192_13</vt:lpwstr>
  </property>
</Properties>
</file>